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E2" w:rsidRPr="003A28AE" w:rsidRDefault="00C82FE2" w:rsidP="00C82FE2">
      <w:pPr>
        <w:pStyle w:val="Nagwek6"/>
        <w:tabs>
          <w:tab w:val="clear" w:pos="709"/>
          <w:tab w:val="left" w:pos="1134"/>
          <w:tab w:val="left" w:pos="3686"/>
          <w:tab w:val="left" w:pos="5670"/>
        </w:tabs>
        <w:ind w:left="851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Urząd Marszałkowski</w:t>
      </w:r>
    </w:p>
    <w:p w:rsidR="00C82FE2" w:rsidRPr="003A28AE" w:rsidRDefault="00C82FE2" w:rsidP="00C82FE2">
      <w:pPr>
        <w:tabs>
          <w:tab w:val="left" w:pos="3686"/>
        </w:tabs>
        <w:ind w:left="426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Województwa Wielkopolskiego</w:t>
      </w:r>
    </w:p>
    <w:p w:rsidR="00C82FE2" w:rsidRPr="003A28AE" w:rsidRDefault="00C82FE2" w:rsidP="00C82FE2">
      <w:pPr>
        <w:tabs>
          <w:tab w:val="left" w:pos="3686"/>
        </w:tabs>
        <w:ind w:firstLine="284"/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Departament Polityki Regionalnej</w:t>
      </w:r>
    </w:p>
    <w:p w:rsidR="00C82FE2" w:rsidRPr="003A28AE" w:rsidRDefault="00C82FE2" w:rsidP="00C82FE2">
      <w:pPr>
        <w:rPr>
          <w:rFonts w:cs="Calibri Light"/>
          <w:sz w:val="22"/>
          <w:szCs w:val="22"/>
        </w:rPr>
      </w:pPr>
    </w:p>
    <w:p w:rsidR="00C82FE2" w:rsidRPr="003A28AE" w:rsidRDefault="00C82FE2" w:rsidP="00C82FE2">
      <w:pPr>
        <w:rPr>
          <w:rFonts w:cs="Calibri Light"/>
          <w:sz w:val="22"/>
          <w:szCs w:val="22"/>
        </w:rPr>
      </w:pPr>
      <w:r w:rsidRPr="003A28AE">
        <w:rPr>
          <w:rFonts w:cs="Calibri Light"/>
          <w:sz w:val="22"/>
          <w:szCs w:val="22"/>
        </w:rPr>
        <w:t>DPR-II-5.40.1.2.2019</w:t>
      </w:r>
    </w:p>
    <w:p w:rsidR="003A28AE" w:rsidRPr="003A28AE" w:rsidRDefault="003A28AE" w:rsidP="003A28AE">
      <w:pPr>
        <w:ind w:left="4956" w:firstLine="708"/>
        <w:rPr>
          <w:sz w:val="22"/>
          <w:szCs w:val="22"/>
        </w:rPr>
      </w:pPr>
    </w:p>
    <w:p w:rsidR="003A28AE" w:rsidRPr="003A28AE" w:rsidRDefault="003A28AE" w:rsidP="003A28AE">
      <w:pPr>
        <w:ind w:left="4956" w:firstLine="708"/>
        <w:rPr>
          <w:sz w:val="22"/>
          <w:szCs w:val="22"/>
        </w:rPr>
      </w:pPr>
    </w:p>
    <w:p w:rsidR="00C82FE2" w:rsidRPr="003A28AE" w:rsidRDefault="003A28AE" w:rsidP="003A28AE">
      <w:pPr>
        <w:ind w:left="6237"/>
        <w:rPr>
          <w:sz w:val="22"/>
          <w:szCs w:val="22"/>
        </w:rPr>
      </w:pPr>
      <w:r w:rsidRPr="003A28AE">
        <w:rPr>
          <w:sz w:val="22"/>
          <w:szCs w:val="22"/>
        </w:rPr>
        <w:t>Wykonawcy zainteresowani postępowaniem</w:t>
      </w:r>
    </w:p>
    <w:p w:rsidR="003A28AE" w:rsidRPr="003A28AE" w:rsidRDefault="003A28AE" w:rsidP="003A28AE">
      <w:pPr>
        <w:ind w:left="6237"/>
        <w:rPr>
          <w:sz w:val="22"/>
          <w:szCs w:val="22"/>
        </w:rPr>
      </w:pPr>
    </w:p>
    <w:p w:rsidR="003A28AE" w:rsidRPr="003A28AE" w:rsidRDefault="003A28AE" w:rsidP="003A28AE">
      <w:pPr>
        <w:rPr>
          <w:rFonts w:asciiTheme="majorHAnsi" w:hAnsiTheme="majorHAnsi" w:cstheme="majorHAnsi"/>
          <w:sz w:val="22"/>
          <w:szCs w:val="22"/>
        </w:rPr>
      </w:pPr>
      <w:r w:rsidRPr="003A28AE">
        <w:rPr>
          <w:rFonts w:asciiTheme="majorHAnsi" w:hAnsiTheme="majorHAnsi" w:cstheme="majorHAnsi"/>
          <w:sz w:val="22"/>
          <w:szCs w:val="22"/>
        </w:rPr>
        <w:t xml:space="preserve">Dotyczy </w:t>
      </w:r>
      <w:r w:rsidRPr="003A28AE">
        <w:rPr>
          <w:rFonts w:asciiTheme="majorHAnsi" w:hAnsiTheme="majorHAnsi" w:cstheme="majorHAnsi"/>
          <w:sz w:val="22"/>
          <w:szCs w:val="22"/>
        </w:rPr>
        <w:t xml:space="preserve">zapytania ofertowego pn. Zapytanie ofertowe na świadczenie usług doradztwa eksperckiego w zakresie: </w:t>
      </w:r>
    </w:p>
    <w:p w:rsidR="003A28AE" w:rsidRPr="003A28AE" w:rsidRDefault="003A28AE" w:rsidP="003A28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wsparcia przez eksperta regionalisty w przygotowaniu Strategii rozwoju województwa wielkopolskiego do 2030 roku (Strategia Wielkopolska 2030) – część 1 zamówienia </w:t>
      </w:r>
    </w:p>
    <w:p w:rsidR="003A28AE" w:rsidRPr="003A28AE" w:rsidRDefault="003A28AE" w:rsidP="003A28AE">
      <w:pPr>
        <w:pStyle w:val="Akapitzlist"/>
        <w:numPr>
          <w:ilvl w:val="0"/>
          <w:numId w:val="6"/>
        </w:numPr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wsparcia dot. terytorialnego wymiaru Strategii rozwoju województwa wielkopolskiego do 2030 roku (Strategia Wielkopolska 2030) – część 2 zamówienia</w:t>
      </w:r>
    </w:p>
    <w:p w:rsidR="003A28AE" w:rsidRDefault="003A28AE" w:rsidP="003A28AE">
      <w:pPr>
        <w:rPr>
          <w:sz w:val="22"/>
          <w:szCs w:val="22"/>
        </w:rPr>
      </w:pPr>
    </w:p>
    <w:p w:rsidR="003A28AE" w:rsidRPr="003A28AE" w:rsidRDefault="003A28AE" w:rsidP="003A28AE">
      <w:pPr>
        <w:rPr>
          <w:sz w:val="22"/>
          <w:szCs w:val="22"/>
        </w:rPr>
      </w:pPr>
      <w:r w:rsidRPr="003A28AE">
        <w:rPr>
          <w:sz w:val="22"/>
          <w:szCs w:val="22"/>
        </w:rPr>
        <w:t>Zamawiający informuje, iż do ww. postępowania zostało złożone zapytanie. W związku z tym, Zamawiający przekazuje treść zapytania  wraz z wyjaśnieniami:</w:t>
      </w:r>
    </w:p>
    <w:p w:rsidR="003A28AE" w:rsidRPr="003A28AE" w:rsidRDefault="003A28AE" w:rsidP="003A28AE">
      <w:pPr>
        <w:ind w:left="6237"/>
        <w:rPr>
          <w:rFonts w:asciiTheme="majorHAnsi" w:hAnsiTheme="majorHAnsi" w:cstheme="majorHAnsi"/>
          <w:sz w:val="22"/>
          <w:szCs w:val="22"/>
        </w:rPr>
      </w:pPr>
    </w:p>
    <w:p w:rsidR="00C82FE2" w:rsidRPr="003A28AE" w:rsidRDefault="00C82FE2" w:rsidP="00C82FE2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Czy oferentem może być osoba fizyczna ?</w:t>
      </w:r>
    </w:p>
    <w:p w:rsidR="00C82FE2" w:rsidRPr="003A28AE" w:rsidRDefault="00C82FE2" w:rsidP="00C82FE2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Tak</w:t>
      </w:r>
      <w:r w:rsidR="00DA635E">
        <w:rPr>
          <w:rFonts w:asciiTheme="majorHAnsi" w:hAnsiTheme="majorHAnsi" w:cstheme="majorHAnsi"/>
        </w:rPr>
        <w:t>, oferentem może być osoba fizyczna.</w:t>
      </w:r>
      <w:bookmarkStart w:id="0" w:name="_GoBack"/>
      <w:bookmarkEnd w:id="0"/>
    </w:p>
    <w:p w:rsidR="00C82FE2" w:rsidRPr="003A28AE" w:rsidRDefault="00C82FE2" w:rsidP="00C82FE2">
      <w:pPr>
        <w:pStyle w:val="Akapitzlist"/>
        <w:ind w:left="1440"/>
        <w:jc w:val="both"/>
        <w:rPr>
          <w:rFonts w:asciiTheme="majorHAnsi" w:hAnsiTheme="majorHAnsi" w:cstheme="majorHAnsi"/>
        </w:rPr>
      </w:pPr>
    </w:p>
    <w:p w:rsidR="00C82FE2" w:rsidRPr="003A28AE" w:rsidRDefault="00C82FE2" w:rsidP="003A28AE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Czy osoba fizyczna może składać ofertę w odniesieniu do obu proponowanych zakresów np. poprzez z</w:t>
      </w:r>
      <w:r w:rsidR="003A28AE" w:rsidRPr="003A28AE">
        <w:rPr>
          <w:rFonts w:asciiTheme="majorHAnsi" w:hAnsiTheme="majorHAnsi" w:cstheme="majorHAnsi"/>
        </w:rPr>
        <w:t>łożenie dwóch ofert cząstkowych</w:t>
      </w:r>
      <w:r w:rsidRPr="003A28AE">
        <w:rPr>
          <w:rFonts w:asciiTheme="majorHAnsi" w:hAnsiTheme="majorHAnsi" w:cstheme="majorHAnsi"/>
        </w:rPr>
        <w:t xml:space="preserve">? </w:t>
      </w:r>
      <w:r w:rsidR="003A28AE" w:rsidRPr="003A28AE">
        <w:rPr>
          <w:rFonts w:asciiTheme="majorHAnsi" w:hAnsiTheme="majorHAnsi" w:cstheme="majorHAnsi"/>
        </w:rPr>
        <w:t>Jest dla mnie czytelne, że jedna osoba nie może wykonać dwóch przedstawionych przez Państwa zakresów. Nie jest jednak dla mnie czytelne czy nie ma prawa, gdy spełnia kryteria, złożyć oferty w jednym i drugim zakresie. Oczywiście wybór oferty w jednym zakresie będzie skutkował eliminacją z rozpatrywania danej oferty w drugim zakresie i odwrotnie.</w:t>
      </w:r>
    </w:p>
    <w:p w:rsidR="00C82FE2" w:rsidRPr="003A28AE" w:rsidRDefault="00C82FE2" w:rsidP="00C82FE2">
      <w:pPr>
        <w:pStyle w:val="Akapitzlist"/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Osoba fizyczna (Oferent) nie może składać oferty w odniesieniu do obu proponowanych zakresów. </w:t>
      </w:r>
    </w:p>
    <w:p w:rsidR="00C82FE2" w:rsidRPr="003A28AE" w:rsidRDefault="00C82FE2" w:rsidP="00C82FE2">
      <w:pPr>
        <w:ind w:left="1080"/>
        <w:rPr>
          <w:rFonts w:asciiTheme="majorHAnsi" w:hAnsiTheme="majorHAnsi" w:cstheme="majorHAnsi"/>
          <w:sz w:val="22"/>
          <w:szCs w:val="22"/>
          <w:lang w:eastAsia="en-US"/>
        </w:rPr>
      </w:pPr>
      <w:r w:rsidRPr="003A28AE">
        <w:rPr>
          <w:rFonts w:asciiTheme="majorHAnsi" w:hAnsiTheme="majorHAnsi" w:cstheme="majorHAnsi"/>
          <w:sz w:val="22"/>
          <w:szCs w:val="22"/>
          <w:lang w:eastAsia="en-US"/>
        </w:rPr>
        <w:t xml:space="preserve">Zapis oferty wskazuje, że jeden Oferent może złożyć ofertę na część 1 i część 2 zamówienia. W takim przypadku Oferent składający ofertę na każdą z dwóch </w:t>
      </w:r>
      <w:r w:rsidRPr="00DA635E">
        <w:rPr>
          <w:rFonts w:asciiTheme="majorHAnsi" w:hAnsiTheme="majorHAnsi" w:cstheme="majorHAnsi"/>
          <w:sz w:val="22"/>
          <w:szCs w:val="22"/>
          <w:lang w:eastAsia="en-US"/>
        </w:rPr>
        <w:t xml:space="preserve">części </w:t>
      </w:r>
      <w:r w:rsidRPr="003A28AE">
        <w:rPr>
          <w:rFonts w:asciiTheme="majorHAnsi" w:hAnsiTheme="majorHAnsi" w:cstheme="majorHAnsi"/>
          <w:sz w:val="22"/>
          <w:szCs w:val="22"/>
          <w:u w:val="single"/>
          <w:lang w:eastAsia="en-US"/>
        </w:rPr>
        <w:t xml:space="preserve">nie może wykazać jako eksperta regionalisty i eksperta </w:t>
      </w:r>
      <w:proofErr w:type="spellStart"/>
      <w:r w:rsidRPr="003A28AE">
        <w:rPr>
          <w:rFonts w:asciiTheme="majorHAnsi" w:hAnsiTheme="majorHAnsi" w:cstheme="majorHAnsi"/>
          <w:sz w:val="22"/>
          <w:szCs w:val="22"/>
          <w:u w:val="single"/>
          <w:lang w:eastAsia="en-US"/>
        </w:rPr>
        <w:t>terytorialisty</w:t>
      </w:r>
      <w:proofErr w:type="spellEnd"/>
      <w:r w:rsidRPr="003A28AE">
        <w:rPr>
          <w:rFonts w:asciiTheme="majorHAnsi" w:hAnsiTheme="majorHAnsi" w:cstheme="majorHAnsi"/>
          <w:sz w:val="22"/>
          <w:szCs w:val="22"/>
          <w:u w:val="single"/>
          <w:lang w:eastAsia="en-US"/>
        </w:rPr>
        <w:t xml:space="preserve"> tej samej osoby</w:t>
      </w:r>
      <w:r w:rsidRPr="003A28AE">
        <w:rPr>
          <w:rFonts w:asciiTheme="majorHAnsi" w:hAnsiTheme="majorHAnsi" w:cstheme="majorHAnsi"/>
          <w:sz w:val="22"/>
          <w:szCs w:val="22"/>
          <w:lang w:eastAsia="en-US"/>
        </w:rPr>
        <w:t xml:space="preserve">. </w:t>
      </w:r>
    </w:p>
    <w:p w:rsidR="00C82FE2" w:rsidRPr="003A28AE" w:rsidRDefault="00C82FE2" w:rsidP="00C82FE2">
      <w:pPr>
        <w:pStyle w:val="Akapitzlist"/>
        <w:ind w:left="1440"/>
        <w:rPr>
          <w:rFonts w:asciiTheme="majorHAnsi" w:hAnsiTheme="majorHAnsi" w:cstheme="majorHAnsi"/>
        </w:rPr>
      </w:pPr>
    </w:p>
    <w:p w:rsidR="00F63C1E" w:rsidRPr="003A28AE" w:rsidRDefault="00F63C1E" w:rsidP="00C82FE2">
      <w:pPr>
        <w:pStyle w:val="Akapitzlist"/>
        <w:ind w:left="1440"/>
        <w:rPr>
          <w:rFonts w:asciiTheme="majorHAnsi" w:hAnsiTheme="majorHAnsi" w:cstheme="majorHAnsi"/>
        </w:rPr>
      </w:pPr>
    </w:p>
    <w:p w:rsidR="00F63C1E" w:rsidRPr="003A28AE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Zastępca Dyrektora Departamentu </w:t>
      </w:r>
    </w:p>
    <w:p w:rsidR="00F63C1E" w:rsidRPr="003A28AE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 xml:space="preserve">/-/ </w:t>
      </w:r>
    </w:p>
    <w:p w:rsidR="00F63C1E" w:rsidRPr="003A28AE" w:rsidRDefault="00F63C1E" w:rsidP="00F63C1E">
      <w:pPr>
        <w:pStyle w:val="Akapitzlist"/>
        <w:ind w:left="4956"/>
        <w:rPr>
          <w:rFonts w:asciiTheme="majorHAnsi" w:hAnsiTheme="majorHAnsi" w:cstheme="majorHAnsi"/>
        </w:rPr>
      </w:pPr>
      <w:r w:rsidRPr="003A28AE">
        <w:rPr>
          <w:rFonts w:asciiTheme="majorHAnsi" w:hAnsiTheme="majorHAnsi" w:cstheme="majorHAnsi"/>
        </w:rPr>
        <w:t>Michał Kurzawski</w:t>
      </w:r>
    </w:p>
    <w:sectPr w:rsidR="00F63C1E" w:rsidRPr="003A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658"/>
    <w:multiLevelType w:val="hybridMultilevel"/>
    <w:tmpl w:val="836AE278"/>
    <w:lvl w:ilvl="0" w:tplc="0F28F81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631C"/>
    <w:multiLevelType w:val="hybridMultilevel"/>
    <w:tmpl w:val="96163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620020"/>
    <w:multiLevelType w:val="hybridMultilevel"/>
    <w:tmpl w:val="6D96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A765E"/>
    <w:multiLevelType w:val="hybridMultilevel"/>
    <w:tmpl w:val="76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46B2D"/>
    <w:multiLevelType w:val="hybridMultilevel"/>
    <w:tmpl w:val="EB64228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E2"/>
    <w:rsid w:val="003A28AE"/>
    <w:rsid w:val="006611E3"/>
    <w:rsid w:val="00C82FE2"/>
    <w:rsid w:val="00DA635E"/>
    <w:rsid w:val="00F466CD"/>
    <w:rsid w:val="00F6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3DF6-FC3A-4533-B70A-980BCED1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FE2"/>
    <w:pPr>
      <w:spacing w:after="0" w:line="240" w:lineRule="auto"/>
      <w:jc w:val="both"/>
    </w:pPr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28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C82FE2"/>
    <w:pPr>
      <w:keepNext/>
      <w:tabs>
        <w:tab w:val="left" w:pos="709"/>
      </w:tabs>
      <w:outlineLvl w:val="5"/>
    </w:pPr>
    <w:rPr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82FE2"/>
    <w:rPr>
      <w:rFonts w:ascii="Calibri Light" w:eastAsia="Times New Roman" w:hAnsi="Calibri Light" w:cs="Times New Roman"/>
      <w:sz w:val="24"/>
      <w:szCs w:val="20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C82FE2"/>
    <w:rPr>
      <w:color w:val="0563C1"/>
      <w:u w:val="single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basedOn w:val="Domylnaczcionkaakapitu"/>
    <w:link w:val="Akapitzlist"/>
    <w:uiPriority w:val="34"/>
    <w:locked/>
    <w:rsid w:val="00C82FE2"/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2FE2"/>
    <w:pPr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A28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63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3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Orłowska</dc:creator>
  <cp:keywords/>
  <dc:description/>
  <cp:lastModifiedBy>Justyna Orłowska</cp:lastModifiedBy>
  <cp:revision>4</cp:revision>
  <cp:lastPrinted>2019-03-15T11:44:00Z</cp:lastPrinted>
  <dcterms:created xsi:type="dcterms:W3CDTF">2019-03-15T11:30:00Z</dcterms:created>
  <dcterms:modified xsi:type="dcterms:W3CDTF">2019-03-15T11:48:00Z</dcterms:modified>
</cp:coreProperties>
</file>