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756"/>
        <w:tblW w:w="105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52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508"/>
        <w:gridCol w:w="8024"/>
      </w:tblGrid>
      <w:tr w:rsidR="009E22FE" w:rsidRPr="009E22FE" w14:paraId="16F4D9F3" w14:textId="77777777" w:rsidTr="009E22FE">
        <w:trPr>
          <w:cantSplit/>
          <w:trHeight w:val="957"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32984752" w14:textId="77777777" w:rsidR="009E22FE" w:rsidRPr="009E22FE" w:rsidRDefault="009E22FE" w:rsidP="009E22FE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2F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27F08493" wp14:editId="511AD5F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-19685</wp:posOffset>
                  </wp:positionV>
                  <wp:extent cx="6364605" cy="521970"/>
                  <wp:effectExtent l="0" t="0" r="0" b="0"/>
                  <wp:wrapNone/>
                  <wp:docPr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460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22FE" w:rsidRPr="009E22FE" w14:paraId="4FD034C8" w14:textId="77777777" w:rsidTr="009E22FE">
        <w:trPr>
          <w:cantSplit/>
        </w:trPr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4A5A0BDB" w14:textId="77777777" w:rsidR="009E22FE" w:rsidRPr="009E22FE" w:rsidRDefault="009E22FE" w:rsidP="009E22FE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pl-PL"/>
              </w:rPr>
            </w:pPr>
            <w:r w:rsidRPr="009E22FE">
              <w:rPr>
                <w:rFonts w:ascii="Calibri" w:eastAsia="Calibri" w:hAnsi="Calibri" w:cs="Calibri"/>
                <w:sz w:val="16"/>
                <w:szCs w:val="16"/>
                <w:lang w:eastAsia="pl-PL"/>
              </w:rPr>
              <w:t>Zamówienie:</w:t>
            </w:r>
          </w:p>
        </w:tc>
        <w:tc>
          <w:tcPr>
            <w:tcW w:w="8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7B859C75" w14:textId="77777777" w:rsidR="009E22FE" w:rsidRPr="009E22FE" w:rsidRDefault="009E22FE" w:rsidP="009E22FE">
            <w:pPr>
              <w:suppressAutoHyphens/>
              <w:spacing w:after="0" w:line="276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9E22FE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Dostawa, instalacja, konfiguracja i uruchomienie infrastruktury teleinformatycznej z oprogramowaniem standardowym i systemowym, dostarczenie, konfiguracja i wdrożenie składników aplikacyjnych GIS, opracowanie i zasilenie bazy danych tematycznych oraz metadanych SIPWW; przeprowadzenie szkoleń w zakresie obsługi dostarczonych komponentów systemu (infrastruktury teleinformatycznej i oprogramowania).</w:t>
            </w:r>
            <w:r w:rsidR="004C481F" w:rsidRPr="009E22FE">
              <w:rPr>
                <w:rFonts w:ascii="Calibri" w:eastAsia="Lucida Sans Unicode" w:hAnsi="Calibri" w:cs="Calibri"/>
                <w:sz w:val="16"/>
                <w:szCs w:val="16"/>
                <w:lang w:eastAsia="pl-PL"/>
              </w:rPr>
              <w:t xml:space="preserve"> nr sprawy BGW-III.272.2.2017</w:t>
            </w:r>
          </w:p>
        </w:tc>
      </w:tr>
      <w:tr w:rsidR="009E22FE" w:rsidRPr="009E22FE" w14:paraId="7E450C55" w14:textId="77777777" w:rsidTr="009E22FE">
        <w:trPr>
          <w:cantSplit/>
        </w:trPr>
        <w:tc>
          <w:tcPr>
            <w:tcW w:w="105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2" w:type="dxa"/>
            </w:tcMar>
            <w:vAlign w:val="center"/>
          </w:tcPr>
          <w:p w14:paraId="0185B54D" w14:textId="77777777" w:rsidR="00B8071A" w:rsidRDefault="00C03177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Odpowiedź na odwołani</w:t>
            </w:r>
            <w:r w:rsidR="00411D9C">
              <w:rPr>
                <w:rFonts w:asciiTheme="minorHAnsi" w:hAnsiTheme="minorHAnsi" w:cstheme="minorHAnsi"/>
                <w:bCs/>
                <w:sz w:val="16"/>
                <w:szCs w:val="16"/>
              </w:rPr>
              <w:t>e</w:t>
            </w:r>
          </w:p>
          <w:p w14:paraId="0188F9E2" w14:textId="77777777" w:rsidR="004C481F" w:rsidRPr="004549D0" w:rsidRDefault="004C481F" w:rsidP="00B8071A">
            <w:pPr>
              <w:pStyle w:val="Tekstpodstawowy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49D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dot. KIO 1435/19</w:t>
            </w:r>
            <w:r w:rsidR="00C0317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7EE6FB56" w14:textId="77777777" w:rsidR="009E22FE" w:rsidRPr="009E22FE" w:rsidRDefault="009E22FE" w:rsidP="009E22FE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276" w:lineRule="auto"/>
              <w:jc w:val="center"/>
              <w:rPr>
                <w:rFonts w:ascii="Liberation Sans" w:eastAsia="Lucida Sans Unicode" w:hAnsi="Liberation Sans" w:cs="Mangal"/>
                <w:sz w:val="28"/>
                <w:szCs w:val="28"/>
                <w:lang w:eastAsia="pl-PL"/>
              </w:rPr>
            </w:pPr>
          </w:p>
        </w:tc>
      </w:tr>
    </w:tbl>
    <w:p w14:paraId="39F714BC" w14:textId="77777777" w:rsidR="008E1B5B" w:rsidRDefault="008E1B5B" w:rsidP="008E1B5B">
      <w:pPr>
        <w:spacing w:after="0" w:line="240" w:lineRule="auto"/>
        <w:jc w:val="both"/>
        <w:rPr>
          <w:rFonts w:ascii="Calibri" w:hAnsi="Calibri" w:cs="Calibri"/>
        </w:rPr>
      </w:pPr>
    </w:p>
    <w:p w14:paraId="56E353E0" w14:textId="77777777" w:rsidR="001C7E04" w:rsidRPr="00C00A8F" w:rsidRDefault="00C03177" w:rsidP="00C00A8F">
      <w:pPr>
        <w:pStyle w:val="Tekstpodstawowywcity2"/>
        <w:tabs>
          <w:tab w:val="left" w:pos="0"/>
        </w:tabs>
        <w:spacing w:after="0" w:line="240" w:lineRule="auto"/>
        <w:ind w:left="4956"/>
        <w:jc w:val="righ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Poznań, dnia 6 sierpnia</w:t>
      </w:r>
      <w:r w:rsidR="00C00A8F" w:rsidRPr="00C00A8F">
        <w:rPr>
          <w:rFonts w:asciiTheme="minorHAnsi" w:hAnsiTheme="minorHAnsi" w:cstheme="minorHAnsi"/>
          <w:bCs/>
          <w:sz w:val="24"/>
          <w:szCs w:val="24"/>
        </w:rPr>
        <w:t xml:space="preserve"> 2019 r. </w:t>
      </w:r>
    </w:p>
    <w:p w14:paraId="5AE45F24" w14:textId="22479D4C" w:rsidR="00C458C2" w:rsidRDefault="00C458C2" w:rsidP="00C624E2">
      <w:pPr>
        <w:pStyle w:val="Tekstpodstawowywcity2"/>
        <w:tabs>
          <w:tab w:val="left" w:pos="0"/>
        </w:tabs>
        <w:spacing w:after="0" w:line="240" w:lineRule="auto"/>
        <w:ind w:left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0622C0A6" w14:textId="77777777" w:rsidR="00C458C2" w:rsidRPr="00411D9C" w:rsidRDefault="00C458C2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>Do:</w:t>
      </w:r>
    </w:p>
    <w:p w14:paraId="7E45483D" w14:textId="77777777" w:rsidR="004C481F" w:rsidRPr="00411D9C" w:rsidRDefault="004C481F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>Prezes</w:t>
      </w:r>
      <w:r w:rsidR="00C458C2" w:rsidRPr="00411D9C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411D9C">
        <w:rPr>
          <w:rFonts w:asciiTheme="minorHAnsi" w:hAnsiTheme="minorHAnsi" w:cstheme="minorHAnsi"/>
          <w:b/>
          <w:bCs/>
          <w:sz w:val="28"/>
          <w:szCs w:val="28"/>
        </w:rPr>
        <w:t xml:space="preserve"> Krajowej Izby Odwoławczej</w:t>
      </w:r>
    </w:p>
    <w:p w14:paraId="42F1453F" w14:textId="77777777" w:rsidR="004C481F" w:rsidRPr="00411D9C" w:rsidRDefault="004C481F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 xml:space="preserve">ul. Postępu 17A </w:t>
      </w:r>
    </w:p>
    <w:p w14:paraId="3CFA49BE" w14:textId="77777777" w:rsidR="001C7E04" w:rsidRPr="00411D9C" w:rsidRDefault="00161F98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 w:rsidRPr="00411D9C">
        <w:rPr>
          <w:rFonts w:asciiTheme="minorHAnsi" w:hAnsiTheme="minorHAnsi" w:cstheme="minorHAnsi"/>
          <w:b/>
          <w:bCs/>
          <w:sz w:val="28"/>
          <w:szCs w:val="28"/>
        </w:rPr>
        <w:t>02-676 Warszawa</w:t>
      </w:r>
    </w:p>
    <w:p w14:paraId="68EBDF47" w14:textId="022828D4" w:rsidR="00B759D0" w:rsidRDefault="00146DA1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/>
          <w:bCs/>
          <w:sz w:val="28"/>
          <w:szCs w:val="28"/>
        </w:rPr>
      </w:pPr>
      <w:hyperlink r:id="rId8" w:history="1">
        <w:r w:rsidR="00161F98" w:rsidRPr="00411D9C">
          <w:rPr>
            <w:rStyle w:val="Hipercze"/>
            <w:rFonts w:asciiTheme="minorHAnsi" w:hAnsiTheme="minorHAnsi" w:cstheme="minorHAnsi"/>
            <w:b/>
            <w:bCs/>
            <w:sz w:val="28"/>
            <w:szCs w:val="28"/>
          </w:rPr>
          <w:t>odwolania@uzp.gov.pl</w:t>
        </w:r>
      </w:hyperlink>
    </w:p>
    <w:p w14:paraId="0CF126CC" w14:textId="77777777" w:rsidR="00C624E2" w:rsidRDefault="00C624E2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Cs/>
          <w:color w:val="auto"/>
          <w:sz w:val="28"/>
          <w:szCs w:val="28"/>
          <w:u w:val="none"/>
        </w:rPr>
      </w:pPr>
    </w:p>
    <w:p w14:paraId="59B2FF97" w14:textId="10C266DF" w:rsidR="00C624E2" w:rsidRPr="00C624E2" w:rsidRDefault="00C624E2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</w:pPr>
      <w:r w:rsidRPr="00C624E2"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strona bip.umww.pl</w:t>
      </w:r>
    </w:p>
    <w:p w14:paraId="20D550AB" w14:textId="6F9696E2" w:rsidR="00C624E2" w:rsidRPr="00C624E2" w:rsidRDefault="00C624E2" w:rsidP="00C458C2">
      <w:pPr>
        <w:pStyle w:val="Tekstpodstawowywcity2"/>
        <w:tabs>
          <w:tab w:val="left" w:pos="0"/>
        </w:tabs>
        <w:spacing w:after="0" w:line="240" w:lineRule="auto"/>
        <w:ind w:left="4248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 xml:space="preserve">zainteresowani </w:t>
      </w:r>
      <w:r w:rsidRPr="00C624E2">
        <w:rPr>
          <w:rStyle w:val="Hipercze"/>
          <w:rFonts w:asciiTheme="minorHAnsi" w:hAnsiTheme="minorHAnsi" w:cstheme="minorHAnsi"/>
          <w:b/>
          <w:bCs/>
          <w:color w:val="auto"/>
          <w:sz w:val="28"/>
          <w:szCs w:val="28"/>
          <w:u w:val="none"/>
        </w:rPr>
        <w:t>Wykonawcy</w:t>
      </w:r>
    </w:p>
    <w:p w14:paraId="597D2591" w14:textId="7987E7FE" w:rsidR="00411D9C" w:rsidRDefault="00411D9C" w:rsidP="004C481F">
      <w:pPr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</w:p>
    <w:p w14:paraId="31171EFE" w14:textId="77777777" w:rsidR="001156C2" w:rsidRPr="00411D9C" w:rsidRDefault="00411D9C" w:rsidP="004C481F">
      <w:pPr>
        <w:spacing w:after="0" w:line="240" w:lineRule="auto"/>
        <w:rPr>
          <w:rFonts w:cstheme="minorHAnsi"/>
          <w:b/>
          <w:color w:val="000000"/>
          <w:sz w:val="28"/>
          <w:szCs w:val="28"/>
          <w:u w:val="single"/>
        </w:rPr>
      </w:pPr>
      <w:r w:rsidRPr="00411D9C">
        <w:rPr>
          <w:rFonts w:cstheme="minorHAnsi"/>
          <w:b/>
          <w:color w:val="000000"/>
          <w:sz w:val="24"/>
          <w:szCs w:val="24"/>
          <w:u w:val="single"/>
        </w:rPr>
        <w:t>dot. KIO 1435/19</w:t>
      </w:r>
    </w:p>
    <w:p w14:paraId="06FAF858" w14:textId="29A7B7EC" w:rsidR="00411D9C" w:rsidRDefault="00411D9C" w:rsidP="00C624E2">
      <w:pPr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14:paraId="6515FC1E" w14:textId="77777777" w:rsidR="00C03177" w:rsidRPr="00C03177" w:rsidRDefault="00C03177" w:rsidP="00C03177">
      <w:pPr>
        <w:spacing w:after="0" w:line="240" w:lineRule="auto"/>
        <w:ind w:firstLine="708"/>
        <w:jc w:val="center"/>
        <w:rPr>
          <w:rFonts w:cstheme="minorHAnsi"/>
          <w:b/>
          <w:color w:val="000000"/>
          <w:sz w:val="28"/>
          <w:szCs w:val="28"/>
        </w:rPr>
      </w:pPr>
      <w:r w:rsidRPr="00C03177">
        <w:rPr>
          <w:rFonts w:cstheme="minorHAnsi"/>
          <w:b/>
          <w:color w:val="000000"/>
          <w:sz w:val="28"/>
          <w:szCs w:val="28"/>
        </w:rPr>
        <w:t xml:space="preserve">ODPOWIEDŹ </w:t>
      </w:r>
      <w:r>
        <w:rPr>
          <w:rFonts w:cstheme="minorHAnsi"/>
          <w:b/>
          <w:color w:val="000000"/>
          <w:sz w:val="28"/>
          <w:szCs w:val="28"/>
        </w:rPr>
        <w:t xml:space="preserve">ZAMAWIAJĄCEGO </w:t>
      </w:r>
      <w:r w:rsidR="00C458C2">
        <w:rPr>
          <w:rFonts w:cstheme="minorHAnsi"/>
          <w:b/>
          <w:color w:val="000000"/>
          <w:sz w:val="28"/>
          <w:szCs w:val="28"/>
        </w:rPr>
        <w:t>NA ODWOŁANIE</w:t>
      </w:r>
    </w:p>
    <w:p w14:paraId="2341DC66" w14:textId="5F7F1B84" w:rsidR="00411D9C" w:rsidRDefault="00411D9C" w:rsidP="00C458C2">
      <w:pPr>
        <w:spacing w:after="0" w:line="240" w:lineRule="auto"/>
        <w:ind w:firstLine="708"/>
        <w:jc w:val="both"/>
        <w:rPr>
          <w:i/>
        </w:rPr>
      </w:pPr>
    </w:p>
    <w:p w14:paraId="30B106A7" w14:textId="77777777" w:rsidR="00C458C2" w:rsidRPr="00411D9C" w:rsidRDefault="00C458C2" w:rsidP="00C458C2">
      <w:pPr>
        <w:spacing w:after="0" w:line="240" w:lineRule="auto"/>
        <w:ind w:firstLine="708"/>
        <w:jc w:val="both"/>
        <w:rPr>
          <w:i/>
        </w:rPr>
      </w:pPr>
      <w:r w:rsidRPr="00411D9C">
        <w:rPr>
          <w:i/>
        </w:rPr>
        <w:t>Dotyczy: odwołania wniesionego przez GIS Partner Sp. z o.o. do postępowania prowadzonego w trybie przetargu nieograniczonego pn. Dostawa, instalacja, konfiguracja i uruchomienie infrastruktury teleinformatycznej z oprogramowaniem standardowym i 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 Ogłoszenie o zamówieniu opublikowano w Dzienniku Urzędowym Unii Europejskiej pod numerem: 2019/S 134-329112 (dalej: „Postępowanie" lub „Zamówienie").</w:t>
      </w:r>
    </w:p>
    <w:p w14:paraId="7C71CFB3" w14:textId="66DA7652" w:rsidR="00C458C2" w:rsidRDefault="00C458C2" w:rsidP="00F82F29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539F7C5" w14:textId="7434071F" w:rsidR="007B11FE" w:rsidRPr="00411D9C" w:rsidRDefault="00411D9C" w:rsidP="00C458C2">
      <w:pPr>
        <w:spacing w:after="0" w:line="240" w:lineRule="auto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411D9C">
        <w:rPr>
          <w:sz w:val="24"/>
          <w:szCs w:val="24"/>
        </w:rPr>
        <w:t>Działając na podstawie art. 186 ust. 1</w:t>
      </w:r>
      <w:r w:rsidRPr="00411D9C">
        <w:rPr>
          <w:rFonts w:ascii="Calibri" w:hAnsi="Calibri" w:cs="Calibri"/>
          <w:color w:val="000000"/>
          <w:sz w:val="24"/>
          <w:szCs w:val="24"/>
        </w:rPr>
        <w:t xml:space="preserve"> ustawy z dnia 29 stycznia 2004 r. Prawo zamówień publicznych (tekst jednolity Dz. U. z 2018 r., poz. 1986 z</w:t>
      </w:r>
      <w:r w:rsidRPr="00411D9C">
        <w:rPr>
          <w:rFonts w:cstheme="minorHAnsi"/>
          <w:color w:val="000000"/>
          <w:sz w:val="24"/>
          <w:szCs w:val="24"/>
        </w:rPr>
        <w:t xml:space="preserve">e </w:t>
      </w:r>
      <w:r w:rsidRPr="00411D9C">
        <w:rPr>
          <w:rFonts w:ascii="Calibri" w:hAnsi="Calibri" w:cs="Calibri"/>
          <w:color w:val="000000"/>
          <w:sz w:val="24"/>
          <w:szCs w:val="24"/>
        </w:rPr>
        <w:t>zm.)</w:t>
      </w:r>
      <w:r w:rsidRPr="00411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dalej: </w:t>
      </w:r>
      <w:r w:rsidRPr="00411D9C">
        <w:rPr>
          <w:sz w:val="24"/>
          <w:szCs w:val="24"/>
        </w:rPr>
        <w:t>Pzp, w</w:t>
      </w:r>
      <w:r>
        <w:rPr>
          <w:rFonts w:cstheme="minorHAnsi"/>
          <w:color w:val="000000"/>
          <w:sz w:val="24"/>
          <w:szCs w:val="24"/>
        </w:rPr>
        <w:t> </w:t>
      </w:r>
      <w:r w:rsidR="004C481F" w:rsidRPr="00411D9C">
        <w:rPr>
          <w:rFonts w:cstheme="minorHAnsi"/>
          <w:color w:val="000000"/>
          <w:sz w:val="24"/>
          <w:szCs w:val="24"/>
        </w:rPr>
        <w:t xml:space="preserve">odpowiedzi na </w:t>
      </w:r>
      <w:r w:rsidR="00C458C2" w:rsidRPr="00411D9C">
        <w:rPr>
          <w:rFonts w:cstheme="minorHAnsi"/>
          <w:color w:val="000000"/>
          <w:sz w:val="24"/>
          <w:szCs w:val="24"/>
        </w:rPr>
        <w:t>odwołanie</w:t>
      </w:r>
      <w:r w:rsidR="00C03177" w:rsidRPr="00411D9C">
        <w:rPr>
          <w:rFonts w:cstheme="minorHAnsi"/>
          <w:color w:val="000000"/>
          <w:sz w:val="24"/>
          <w:szCs w:val="24"/>
        </w:rPr>
        <w:t xml:space="preserve"> wobec treści Ogłoszenia o zamówieniu i SIWZ</w:t>
      </w:r>
      <w:r w:rsidR="00C03177" w:rsidRPr="00411D9C">
        <w:rPr>
          <w:rFonts w:cstheme="minorHAnsi"/>
          <w:sz w:val="24"/>
          <w:szCs w:val="24"/>
        </w:rPr>
        <w:t xml:space="preserve"> wniesione przez GISPartner Sp. z o.o. z siedzibą we Wrocławiu, ul. Długosza 60, 51-162 Wrocław</w:t>
      </w:r>
      <w:r w:rsidR="00C03177" w:rsidRPr="00411D9C">
        <w:rPr>
          <w:rFonts w:cstheme="minorHAnsi"/>
          <w:color w:val="000000"/>
          <w:sz w:val="24"/>
          <w:szCs w:val="24"/>
        </w:rPr>
        <w:t xml:space="preserve"> z dnia 25 lipca </w:t>
      </w:r>
      <w:r w:rsidR="001156C2" w:rsidRPr="00411D9C">
        <w:rPr>
          <w:rFonts w:cstheme="minorHAnsi"/>
          <w:color w:val="000000"/>
          <w:sz w:val="24"/>
          <w:szCs w:val="24"/>
        </w:rPr>
        <w:t>2019 r.</w:t>
      </w:r>
      <w:r w:rsidRPr="00411D9C">
        <w:rPr>
          <w:rFonts w:cstheme="minorHAnsi"/>
          <w:color w:val="000000"/>
          <w:sz w:val="24"/>
          <w:szCs w:val="24"/>
        </w:rPr>
        <w:t>,</w:t>
      </w:r>
      <w:r w:rsidR="004C481F" w:rsidRPr="00411D9C">
        <w:rPr>
          <w:rFonts w:cstheme="minorHAnsi"/>
          <w:color w:val="000000"/>
          <w:sz w:val="24"/>
          <w:szCs w:val="24"/>
        </w:rPr>
        <w:t xml:space="preserve"> </w:t>
      </w:r>
      <w:r w:rsidR="004C481F" w:rsidRPr="00411D9C">
        <w:rPr>
          <w:rFonts w:cstheme="minorHAnsi"/>
          <w:b/>
          <w:color w:val="000000"/>
          <w:sz w:val="24"/>
          <w:szCs w:val="24"/>
        </w:rPr>
        <w:t>KIO 1435/19</w:t>
      </w:r>
      <w:r w:rsidR="004C481F" w:rsidRPr="00411D9C">
        <w:rPr>
          <w:rFonts w:cstheme="minorHAnsi"/>
          <w:color w:val="000000"/>
          <w:sz w:val="24"/>
          <w:szCs w:val="24"/>
        </w:rPr>
        <w:t>,</w:t>
      </w:r>
      <w:r w:rsidR="00C03177" w:rsidRPr="00411D9C">
        <w:rPr>
          <w:rFonts w:cstheme="minorHAnsi"/>
          <w:color w:val="000000"/>
          <w:sz w:val="24"/>
          <w:szCs w:val="24"/>
        </w:rPr>
        <w:t xml:space="preserve"> Zamawiając</w:t>
      </w:r>
      <w:r w:rsidR="000C6165">
        <w:rPr>
          <w:rFonts w:cstheme="minorHAnsi"/>
          <w:color w:val="000000"/>
          <w:sz w:val="24"/>
          <w:szCs w:val="24"/>
        </w:rPr>
        <w:t>y wyjaśnia i podaje.</w:t>
      </w:r>
    </w:p>
    <w:p w14:paraId="20F1EB0B" w14:textId="33A7DEB9" w:rsidR="00C03177" w:rsidRPr="000C6165" w:rsidRDefault="00C03177" w:rsidP="00F82F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6B640E" w14:textId="77777777" w:rsidR="00C458C2" w:rsidRPr="000C6165" w:rsidRDefault="00C458C2" w:rsidP="00C43612">
      <w:pPr>
        <w:ind w:firstLine="708"/>
      </w:pPr>
      <w:r w:rsidRPr="000C6165">
        <w:t>Odwołujący odwołuje się w zakresie:</w:t>
      </w:r>
    </w:p>
    <w:p w14:paraId="6E7FF199" w14:textId="77777777" w:rsidR="000C6165" w:rsidRDefault="00C458C2" w:rsidP="00C458C2">
      <w:pPr>
        <w:jc w:val="both"/>
      </w:pPr>
      <w:r w:rsidRPr="000C6165">
        <w:t xml:space="preserve">1) treści ogłoszenia o zamówieniu i specyfikacji istotnych warunków zamówienia w zakresie kryterium oceny ofert dla Części nr 1: „Funkcjonalność prototypu”, </w:t>
      </w:r>
    </w:p>
    <w:p w14:paraId="0A5C3C03" w14:textId="4528DA9B" w:rsidR="00C458C2" w:rsidRPr="000C6165" w:rsidRDefault="00C458C2" w:rsidP="00C458C2">
      <w:pPr>
        <w:jc w:val="both"/>
      </w:pPr>
      <w:r w:rsidRPr="000C6165">
        <w:t xml:space="preserve">2) treści ogłoszenia o zamówieniu i specyfikacji istotnych warunków zamówienia w zakresie warunku udziału w postępowaniu dla Części nr 1 dotyczącego zdolności technicznej lub zawodowej, pkt 1.2 lit. A ppkt 1 lit. c ogłoszenia (rozdział V ust. 1 pkt 1.2 lit. A ppkt 1 lit. c SIWZ): co najmniej 1 (jedno) zamówienie polegające na dostawie i wdrożeniu serwera usług danych 3D oraz mapowej aplikacji </w:t>
      </w:r>
      <w:r w:rsidRPr="000C6165">
        <w:lastRenderedPageBreak/>
        <w:t>klienckiej dostępnej dla użytkowników przez standardowe przeglądarki internetowe także z wersją mobilną w sieci Internet, pozwalającej co najmniej na przeglądanie i analizowanie trójwymiarowych danych przestrzennych (zdjęć sfe</w:t>
      </w:r>
      <w:r w:rsidR="000C6165">
        <w:t>rycznych, chmura punktów LIDAR),</w:t>
      </w:r>
      <w:r w:rsidRPr="000C6165">
        <w:t xml:space="preserve"> </w:t>
      </w:r>
    </w:p>
    <w:p w14:paraId="0F77078C" w14:textId="5062FE63" w:rsidR="00C458C2" w:rsidRPr="000C6165" w:rsidRDefault="00C458C2" w:rsidP="00C458C2">
      <w:pPr>
        <w:jc w:val="both"/>
      </w:pPr>
      <w:r w:rsidRPr="000C6165">
        <w:t>3) treści specyfikacji istotnych warunków zamówienia w zakresie formularza ofertowego, wzoru umowy oraz opisu przedmiotu zamówienia Części nr 1 – w części obejmującej gwarancję i rękojmię oraz usługę „Asysty technicznej”</w:t>
      </w:r>
      <w:r w:rsidR="000C6165">
        <w:t>,</w:t>
      </w:r>
    </w:p>
    <w:p w14:paraId="64695222" w14:textId="77777777" w:rsidR="00C458C2" w:rsidRPr="000C6165" w:rsidRDefault="00C458C2" w:rsidP="00C458C2">
      <w:pPr>
        <w:jc w:val="both"/>
      </w:pPr>
      <w:r w:rsidRPr="000C6165">
        <w:t xml:space="preserve">zarzucając naruszenie przez Zamawiającego: </w:t>
      </w:r>
    </w:p>
    <w:p w14:paraId="3780DF1C" w14:textId="4077C25A" w:rsidR="00C458C2" w:rsidRPr="000C6165" w:rsidRDefault="00C458C2" w:rsidP="00C458C2">
      <w:pPr>
        <w:jc w:val="both"/>
      </w:pPr>
      <w:r w:rsidRPr="000C6165">
        <w:t xml:space="preserve">1) art. 353[1] kodeksu cywilnego w zw. z art. 14 ust. 1 i art. 139 ust. 1 </w:t>
      </w:r>
      <w:r w:rsidR="000C6165">
        <w:t>Pzp,</w:t>
      </w:r>
      <w:r w:rsidRPr="000C6165">
        <w:t xml:space="preserve"> przez sporządzenie wzoru umowy w sposób naruszający przepisy ustawy i zasady współżycia społecznego, </w:t>
      </w:r>
    </w:p>
    <w:p w14:paraId="65FBF934" w14:textId="4D3D5E4C" w:rsidR="00C43612" w:rsidRPr="000C6165" w:rsidRDefault="00C458C2" w:rsidP="000C6165">
      <w:pPr>
        <w:jc w:val="both"/>
      </w:pPr>
      <w:r w:rsidRPr="000C6165">
        <w:t xml:space="preserve">2) naruszenie art. 7 ust. 1 </w:t>
      </w:r>
      <w:r w:rsidR="000C6165">
        <w:t>Pzp oraz art. 22 ust. 1a Pzp</w:t>
      </w:r>
      <w:r w:rsidRPr="000C6165">
        <w:t xml:space="preserve"> przez sformułowanie wyżej opisanego warunku udziału w postępowaniu, w zakresie wykazania zdolności technicznej/zawodowej poprzez wykonanie co najmniej jednego zamówienia polegającego na dostawie i wdrożeniu serwera usług danych 3D oraz mapowej aplikacji klienckiej dostępnej dla użytkowników przez standardowe przeglądarki internetowe także z wersją mobilną w sieci Internet, pozwalające</w:t>
      </w:r>
      <w:r w:rsidR="000C6165">
        <w:t>j co najmniej na przeglądanie i </w:t>
      </w:r>
      <w:r w:rsidRPr="000C6165">
        <w:t xml:space="preserve">analizowanie trójwymiarowych danych przestrzennych (zdjęć sferycznych, chmura punktów LIDAR) w sposób nieproporcjonalny i utrudniający uczciwą konkurencję i zasadę równego traktowania wykonawców, wobec braku zobowiązania Wykonawcy do dostarczenia w ramach realizacji zamówienia wersji mobilnej ww. oprogramowania realizującej wyżej opisane wymagania, </w:t>
      </w:r>
    </w:p>
    <w:p w14:paraId="0E943D66" w14:textId="49A41A62" w:rsidR="00C458C2" w:rsidRPr="000C6165" w:rsidRDefault="00C458C2" w:rsidP="00C458C2">
      <w:pPr>
        <w:jc w:val="both"/>
      </w:pPr>
      <w:r w:rsidRPr="000C6165">
        <w:t>3) art. 7 ust. 1 w zw. z art. 29 ust. 1</w:t>
      </w:r>
      <w:r w:rsidR="000C6165">
        <w:t xml:space="preserve"> Pzp</w:t>
      </w:r>
      <w:r w:rsidRPr="000C6165">
        <w:t xml:space="preserve"> poprzez opisanie przedmiotu zamówienia w sposób niejednoznaczny i niewyczerpujący, nie uwzględniając wszystkich wymagań i okoliczności mogących mieć wpływ na sporządzenie oferty, w szczególności wobec nałożenia na Wykonawcę ogólnych, niejednoznacznych i nieprecyzyjnych zobowiązań w zakresie gwarancji, co uniemożliwia skalkulowanie przez Wykonawcę ceny ofertowej.</w:t>
      </w:r>
    </w:p>
    <w:p w14:paraId="038DB3A8" w14:textId="1F9E154D" w:rsidR="00C43612" w:rsidRPr="00F82F29" w:rsidRDefault="00C458C2" w:rsidP="00C458C2">
      <w:pPr>
        <w:jc w:val="both"/>
        <w:rPr>
          <w:b/>
          <w:bCs/>
        </w:rPr>
      </w:pPr>
      <w:r w:rsidRPr="000C6165">
        <w:rPr>
          <w:b/>
          <w:bCs/>
        </w:rPr>
        <w:t>Po zapoznaniu się z treścią odwołania, w tym z zarzutami sformułowanymi przez Odwołującego, uzasadnieniem tych zarzutów oraz żądaniami określonymi w odwołaniu Zamawiający:</w:t>
      </w:r>
    </w:p>
    <w:p w14:paraId="21AA1FD3" w14:textId="07B22D49" w:rsidR="00727753" w:rsidRDefault="00C458C2" w:rsidP="006232AE">
      <w:pPr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decyduje się na uwzględnienie następujących zarzutów</w:t>
      </w:r>
      <w:r w:rsidR="00C43612">
        <w:rPr>
          <w:b/>
          <w:bCs/>
        </w:rPr>
        <w:t>:</w:t>
      </w:r>
      <w:r>
        <w:rPr>
          <w:b/>
          <w:bCs/>
        </w:rPr>
        <w:t xml:space="preserve">  </w:t>
      </w:r>
    </w:p>
    <w:p w14:paraId="013A10DD" w14:textId="2CD14AF4" w:rsidR="006232AE" w:rsidRDefault="00C458C2" w:rsidP="006232AE">
      <w:pPr>
        <w:jc w:val="both"/>
        <w:rPr>
          <w:b/>
          <w:bCs/>
        </w:rPr>
      </w:pPr>
      <w:r>
        <w:rPr>
          <w:b/>
          <w:bCs/>
        </w:rPr>
        <w:t>a)</w:t>
      </w:r>
      <w:r>
        <w:rPr>
          <w:b/>
          <w:bCs/>
        </w:rPr>
        <w:tab/>
      </w:r>
      <w:r>
        <w:rPr>
          <w:bCs/>
        </w:rPr>
        <w:t xml:space="preserve">zarzutu </w:t>
      </w:r>
      <w:r w:rsidR="00727753">
        <w:rPr>
          <w:bCs/>
        </w:rPr>
        <w:t xml:space="preserve">2. </w:t>
      </w:r>
      <w:r>
        <w:rPr>
          <w:bCs/>
        </w:rPr>
        <w:t>dot. postanowień ogłoszenia o zamówieniu i specyfikacji istotnych warunków zamówienia w zakresie warunku udziału w postępowaniu dla Części nr 1 dotyczącego zdolności technicznej lub zawodowej, pkt 1.2 lit. A ppkt 1 lit. c ogłoszenia (rozdział V ust. 1 pkt 1.2 lit. A ppkt 1 lit. c SIWZ) dot. braku zobowiąza</w:t>
      </w:r>
      <w:r w:rsidR="00C43612">
        <w:rPr>
          <w:bCs/>
        </w:rPr>
        <w:t>nia Wykonawcy do dostarczenia w </w:t>
      </w:r>
      <w:r>
        <w:rPr>
          <w:bCs/>
        </w:rPr>
        <w:t>ramach realizacji zamówienia wersji mobilnej ww. oprogramowania realizującej wyżej opisane wymagania</w:t>
      </w:r>
      <w:r>
        <w:rPr>
          <w:b/>
          <w:bCs/>
        </w:rPr>
        <w:t xml:space="preserve">. W związku </w:t>
      </w:r>
      <w:r w:rsidR="006232AE">
        <w:rPr>
          <w:b/>
          <w:bCs/>
        </w:rPr>
        <w:t>z </w:t>
      </w:r>
      <w:r>
        <w:rPr>
          <w:b/>
          <w:bCs/>
        </w:rPr>
        <w:t>powyższym, Zamawiający dokonuje zmian w dokumentacji przetargowej</w:t>
      </w:r>
      <w:r w:rsidR="006232AE">
        <w:rPr>
          <w:b/>
          <w:bCs/>
        </w:rPr>
        <w:t>,</w:t>
      </w:r>
      <w:r>
        <w:rPr>
          <w:b/>
          <w:bCs/>
        </w:rPr>
        <w:t xml:space="preserve"> opisanych szczegółowo w dalszej części niniejszej odpowiedzi na odwołanie;</w:t>
      </w:r>
    </w:p>
    <w:p w14:paraId="359B82AB" w14:textId="096AA2AF" w:rsidR="00C458C2" w:rsidRPr="006232AE" w:rsidRDefault="006232AE" w:rsidP="006232AE">
      <w:pPr>
        <w:jc w:val="both"/>
        <w:rPr>
          <w:b/>
          <w:bCs/>
        </w:rPr>
      </w:pPr>
      <w:r>
        <w:rPr>
          <w:b/>
          <w:bCs/>
        </w:rPr>
        <w:t xml:space="preserve">b) </w:t>
      </w:r>
      <w:r w:rsidR="00C458C2" w:rsidRPr="006232AE">
        <w:rPr>
          <w:b/>
          <w:bCs/>
          <w:u w:val="single"/>
        </w:rPr>
        <w:t>częściowo</w:t>
      </w:r>
      <w:r w:rsidR="00C458C2" w:rsidRPr="006232AE">
        <w:rPr>
          <w:b/>
          <w:bCs/>
        </w:rPr>
        <w:t xml:space="preserve">, </w:t>
      </w:r>
      <w:r w:rsidR="00C458C2" w:rsidRPr="006232AE">
        <w:rPr>
          <w:bCs/>
        </w:rPr>
        <w:t xml:space="preserve">co do zarzutu </w:t>
      </w:r>
      <w:r w:rsidR="007548A6">
        <w:rPr>
          <w:bCs/>
        </w:rPr>
        <w:t xml:space="preserve">3. </w:t>
      </w:r>
      <w:r w:rsidR="00C458C2" w:rsidRPr="006232AE">
        <w:rPr>
          <w:bCs/>
        </w:rPr>
        <w:t>dot. nałożenia na Wykonawc</w:t>
      </w:r>
      <w:r w:rsidR="00C43612" w:rsidRPr="006232AE">
        <w:rPr>
          <w:bCs/>
        </w:rPr>
        <w:t>ę ogólnych, niejednoznacznych i </w:t>
      </w:r>
      <w:r w:rsidR="00C458C2" w:rsidRPr="006232AE">
        <w:rPr>
          <w:bCs/>
        </w:rPr>
        <w:t>nieprecyzyjnych zobowiązań w zakresie gwarancji (dot. treści specyfikacji istotnych warunków zamówienia w zakresie formularza ofertowego, wzoru umowy oraz opisu przedmiotu zamówienia Części nr 1 – w części obejmującej gwarancję i rękojmię oraz usługę „Asysty technicznej”).</w:t>
      </w:r>
      <w:r w:rsidR="00C458C2" w:rsidRPr="006232AE">
        <w:rPr>
          <w:b/>
          <w:bCs/>
        </w:rPr>
        <w:t xml:space="preserve"> Szczegółowy zakres zarzutu, uwzględniony przez Zamawiającego, został wskazany w dalszej części odpowiedzi na odwołanie. W związku z powyższy</w:t>
      </w:r>
      <w:r w:rsidR="00C43612" w:rsidRPr="006232AE">
        <w:rPr>
          <w:b/>
          <w:bCs/>
        </w:rPr>
        <w:t>m, Zamawiający dokonuje zmian w </w:t>
      </w:r>
      <w:r w:rsidR="00C458C2" w:rsidRPr="006232AE">
        <w:rPr>
          <w:b/>
          <w:bCs/>
        </w:rPr>
        <w:t>dokumentacji przetargowej opisanych szczegółowo w dalszej części niniejszej odpowiedzi na odwołanie.</w:t>
      </w:r>
    </w:p>
    <w:p w14:paraId="29F0A4E7" w14:textId="3682D7BF" w:rsidR="00C458C2" w:rsidRDefault="007548A6" w:rsidP="00C458C2">
      <w:pPr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W</w:t>
      </w:r>
      <w:r w:rsidR="00C458C2">
        <w:rPr>
          <w:b/>
          <w:bCs/>
        </w:rPr>
        <w:t xml:space="preserve"> pozostałym zakresie Zamawiający wnioskuje o oddalenie odwołania jako bezzasadnego.</w:t>
      </w:r>
    </w:p>
    <w:p w14:paraId="14D754BE" w14:textId="7DF7AF6C" w:rsidR="006232AE" w:rsidRDefault="00C458C2" w:rsidP="00F82F29">
      <w:pPr>
        <w:jc w:val="both"/>
        <w:rPr>
          <w:b/>
          <w:bCs/>
        </w:rPr>
      </w:pPr>
      <w:r>
        <w:rPr>
          <w:b/>
          <w:bCs/>
        </w:rPr>
        <w:lastRenderedPageBreak/>
        <w:t>3.</w:t>
      </w:r>
      <w:r>
        <w:rPr>
          <w:b/>
          <w:bCs/>
        </w:rPr>
        <w:tab/>
        <w:t xml:space="preserve">Ponadto Zamawiający wnosi o przeprowadzenie dowodów przywołanych w treści odpowiedzi na odwołanie. </w:t>
      </w:r>
    </w:p>
    <w:p w14:paraId="3C96B449" w14:textId="77777777" w:rsidR="00F82F29" w:rsidRDefault="00F82F29" w:rsidP="00C458C2">
      <w:pPr>
        <w:rPr>
          <w:b/>
          <w:bCs/>
        </w:rPr>
      </w:pPr>
    </w:p>
    <w:p w14:paraId="794FF6A5" w14:textId="42C5E2B3" w:rsidR="00C458C2" w:rsidRDefault="00C458C2" w:rsidP="00C458C2">
      <w:pPr>
        <w:rPr>
          <w:b/>
          <w:bCs/>
        </w:rPr>
      </w:pPr>
      <w:r>
        <w:rPr>
          <w:b/>
          <w:bCs/>
        </w:rPr>
        <w:t>Zarzut 1., dotyczący treści ogłoszenia o zamówieniu i specyfikacji istotnych warunków zamówienia w zakresie kryterium oceny ofert dla Części nr 1.: „Funkcjonalność prototypu</w:t>
      </w:r>
      <w:r w:rsidR="007548A6">
        <w:rPr>
          <w:b/>
          <w:bCs/>
        </w:rPr>
        <w:t>.</w:t>
      </w:r>
      <w:r>
        <w:rPr>
          <w:b/>
          <w:bCs/>
        </w:rPr>
        <w:t>”</w:t>
      </w:r>
    </w:p>
    <w:p w14:paraId="0BB61B72" w14:textId="77777777" w:rsidR="00C458C2" w:rsidRDefault="00C458C2" w:rsidP="00C458C2">
      <w:pPr>
        <w:jc w:val="both"/>
      </w:pPr>
      <w:r>
        <w:t>Zarzut Odwołującego jest dość niejasny. Opiera się na rzekomym naruszeniu przez Zamawiającego art. 353 (1) kodeksu cywilnego, co nie zostało uzasadnione w odwołaniu. Z tym zarzutem wiąże się żądanie zmiany IPU i dodania tam prawa do odstąpienia od umowy oraz prawa do wykonania zastępczego. Nie zostało wskazane, na czym polegać ma czynność lub zaniechanie Zamawiającego niezgodne z przepisami ustawy.</w:t>
      </w:r>
    </w:p>
    <w:p w14:paraId="0616A2ED" w14:textId="33BA4C7C" w:rsidR="00727753" w:rsidRPr="000C6165" w:rsidRDefault="00C458C2" w:rsidP="000C6165">
      <w:pPr>
        <w:jc w:val="both"/>
      </w:pPr>
      <w:r>
        <w:t xml:space="preserve">Odnosząc się merytorycznie do zarzutu Odwołującego należy zwrócić uwagę, że Zamawiający przewidział w IPU zapisy umożliwiające Zamawiającemu nałożenie kar umownych w przypadku, gdy przedstawiony przez Wykonawcę Prototyp Systemu nie posiada którejś z zadeklarowanych funkcjonalności. Zapisy te mają na celu zmotywowanie Oferentów do odpowiedzialnego deklarowania funkcjonalności dostarczanego prototypu na etapie składania ofert, gdyż ta funkcjonalność jest jednym z kryteriów oceny ofert. Zgodnie z zapisami </w:t>
      </w:r>
      <w:r>
        <w:rPr>
          <w:rFonts w:cstheme="minorHAnsi"/>
        </w:rPr>
        <w:t>§</w:t>
      </w:r>
      <w:r>
        <w:t>8 ust. 1 lit. q) i r) Załącznika nr 3a) do SIWZ (</w:t>
      </w:r>
      <w:r>
        <w:rPr>
          <w:i/>
          <w:iCs/>
        </w:rPr>
        <w:t>Istotne Postanowienia Umowy</w:t>
      </w:r>
      <w:r>
        <w:t>) należy zwrócić uwagę, że Zamawiający przewidział kary umowne:</w:t>
      </w:r>
    </w:p>
    <w:p w14:paraId="2858E5FC" w14:textId="64A41716" w:rsidR="00C458C2" w:rsidRDefault="00C458C2" w:rsidP="00C458C2">
      <w:pPr>
        <w:ind w:left="851" w:right="1088"/>
        <w:jc w:val="both"/>
        <w:rPr>
          <w:i/>
          <w:iCs/>
        </w:rPr>
      </w:pPr>
      <w:r>
        <w:rPr>
          <w:i/>
          <w:iCs/>
        </w:rPr>
        <w:t xml:space="preserve">q) za każdą zadeklarowaną w ofercie (w załączniku 1b do formularza ofertowego) i niezademonstrowaną przy badaniu Prototypu funkcjonalność oznaczoną jako wymagalną (W) w wysokości 0,2% wynagrodzenia netto, o którym mowa w §7 ust. 1 lit. a. </w:t>
      </w:r>
    </w:p>
    <w:p w14:paraId="757BCF22" w14:textId="77777777" w:rsidR="00C458C2" w:rsidRDefault="00C458C2" w:rsidP="00C458C2">
      <w:pPr>
        <w:ind w:left="851" w:right="1088"/>
        <w:jc w:val="both"/>
        <w:rPr>
          <w:i/>
          <w:iCs/>
        </w:rPr>
      </w:pPr>
      <w:r>
        <w:rPr>
          <w:i/>
          <w:iCs/>
        </w:rPr>
        <w:t>r) za każdą zadeklarowaną w ofercie (w załączniku 1b do formularza ofertowego) i niezademonstrowaną przy badaniu Prototypu funkcjonalność oznaczoną jako punktowaną (inną niż wymagalna W) w wysokości 0,1% wynagrodzenia netto, o którym mowa w §7 ust. 1 lit. a.</w:t>
      </w:r>
    </w:p>
    <w:p w14:paraId="6490521C" w14:textId="77777777" w:rsidR="0084131C" w:rsidRDefault="0084131C" w:rsidP="0084131C">
      <w:pPr>
        <w:jc w:val="both"/>
      </w:pPr>
      <w:r>
        <w:t xml:space="preserve">Liczba wymaganych funkcjonalności typu „W” wynosi 124, zaś opcjonalnych jest 163. Biorąc pod uwagę szacowaną wartość zamówienia w części nr 1. (bez zamówień opcjonalnych) na poziomie 20 mln zł netto, oraz przewidziane w </w:t>
      </w:r>
      <w:r>
        <w:rPr>
          <w:rFonts w:cstheme="minorHAnsi"/>
        </w:rPr>
        <w:t>§</w:t>
      </w:r>
      <w:r>
        <w:t>8 ust. 1 lit. q) i r) kary za brak funkcjonalności prototypu, Wykonawca zapłaci odpowiednio:</w:t>
      </w:r>
    </w:p>
    <w:p w14:paraId="0FAAF6D5" w14:textId="77777777" w:rsidR="0084131C" w:rsidRDefault="0084131C" w:rsidP="0084131C">
      <w:pPr>
        <w:pStyle w:val="Akapitzlist"/>
        <w:numPr>
          <w:ilvl w:val="0"/>
          <w:numId w:val="6"/>
        </w:numPr>
        <w:spacing w:after="160" w:line="256" w:lineRule="auto"/>
        <w:contextualSpacing/>
        <w:jc w:val="both"/>
      </w:pPr>
      <w:r>
        <w:t>44.664,29 zł netto za brak każdej ze 124 funkcjonalności wymaganych bezwzględnie,</w:t>
      </w:r>
    </w:p>
    <w:p w14:paraId="2CCC0A1E" w14:textId="77777777" w:rsidR="0084131C" w:rsidRDefault="0084131C" w:rsidP="0084131C">
      <w:pPr>
        <w:pStyle w:val="Akapitzlist"/>
        <w:numPr>
          <w:ilvl w:val="0"/>
          <w:numId w:val="6"/>
        </w:numPr>
        <w:spacing w:after="160" w:line="256" w:lineRule="auto"/>
        <w:contextualSpacing/>
        <w:jc w:val="both"/>
      </w:pPr>
      <w:r>
        <w:t xml:space="preserve">22.332,14 zł netto zaś za brak każdej ze 163 funkcjonalności opcjonalnych. </w:t>
      </w:r>
    </w:p>
    <w:p w14:paraId="2AACF857" w14:textId="0B2FB96C" w:rsidR="0084131C" w:rsidRDefault="0084131C" w:rsidP="0084131C">
      <w:pPr>
        <w:jc w:val="both"/>
      </w:pPr>
      <w:r>
        <w:t>W przypadku braku 10% funkcjonalności będzie to odpowiednio 553.837,17 zł netto i 364.013,95 zł netto, a gdyby brakowało 20% funkcjonalności, to już odpo</w:t>
      </w:r>
      <w:r w:rsidR="000C6165">
        <w:t>wiednio 1.107.674,34 zł netto i </w:t>
      </w:r>
      <w:r>
        <w:t>728.027,89 zł netto. W związku z tym Zamawiający stoi na stanowisku, że przewidziane w obecnym kształcie IPU kary umowne są wystarczająco dotkliwe, aby sku</w:t>
      </w:r>
      <w:r w:rsidR="000C6165">
        <w:t>tecznie zmotywować Wykonawcę do </w:t>
      </w:r>
      <w:r>
        <w:t xml:space="preserve">właściwej (tj. zgodnej z deklaracjami złożonymi na formularzu ofertowym) realizacji prototypu. </w:t>
      </w:r>
    </w:p>
    <w:p w14:paraId="4AD357B9" w14:textId="77777777" w:rsidR="00C458C2" w:rsidRDefault="00C458C2" w:rsidP="00C458C2">
      <w:pPr>
        <w:jc w:val="both"/>
        <w:rPr>
          <w:rFonts w:cs="Calibri"/>
        </w:rPr>
      </w:pPr>
      <w:r>
        <w:t xml:space="preserve">Zwracamy ponadto uwagę, że interes Zamawiającego jest dodatkowo zabezpieczony przez wprowadzenie w IPU możliwości odstąpienia od umowy w </w:t>
      </w:r>
      <w:r>
        <w:rPr>
          <w:rFonts w:cstheme="minorHAnsi"/>
        </w:rPr>
        <w:t>§</w:t>
      </w:r>
      <w:r>
        <w:t xml:space="preserve">10 ust 1 pkt 1.7 Załącznika </w:t>
      </w:r>
      <w:r>
        <w:rPr>
          <w:rFonts w:cs="Calibri"/>
        </w:rPr>
        <w:t>nr 3a do SIWZ (</w:t>
      </w:r>
      <w:r>
        <w:rPr>
          <w:rFonts w:cs="Calibri"/>
          <w:i/>
          <w:iCs/>
        </w:rPr>
        <w:t>Istotne Postanowienia Umowy</w:t>
      </w:r>
      <w:r>
        <w:rPr>
          <w:rFonts w:cs="Calibri"/>
        </w:rPr>
        <w:t xml:space="preserve">) </w:t>
      </w:r>
      <w:r>
        <w:t>„W przypadku niedokonania odbioru częściowego lub końcowego pomimo trzykrotnego zgłoszenia gotowości do odbioru przez Wykonawcę”</w:t>
      </w:r>
      <w:r>
        <w:rPr>
          <w:rFonts w:cs="Calibri"/>
        </w:rPr>
        <w:t xml:space="preserve">. </w:t>
      </w:r>
      <w:r>
        <w:t xml:space="preserve">Pierwszym takim punktem kontrolnym jest odbiór analizy przedwdrożeniowej, co daje możliwość odstąpienia od </w:t>
      </w:r>
      <w:r>
        <w:lastRenderedPageBreak/>
        <w:t xml:space="preserve">umowy i wiąże się z kolejnymi dotkliwymi karami umownymi, zgodnie z zapisami </w:t>
      </w:r>
      <w:r>
        <w:rPr>
          <w:rFonts w:cstheme="minorHAnsi"/>
        </w:rPr>
        <w:t>§</w:t>
      </w:r>
      <w:r>
        <w:t xml:space="preserve">8 ust. 1 lit. a). </w:t>
      </w:r>
      <w:r>
        <w:rPr>
          <w:rFonts w:cs="Calibri"/>
        </w:rPr>
        <w:t>Produkty analizy przedwdrożeniowej jako wyodrębniony element zamówienia podlegają bowiem odbiorowi, podobnie jak wymienione w Harmonogramie zawartym w SOPZ elementy Systemu docelowego.</w:t>
      </w:r>
    </w:p>
    <w:p w14:paraId="2BA5F4B1" w14:textId="78BEA291" w:rsidR="00727753" w:rsidRDefault="00C458C2" w:rsidP="00C458C2">
      <w:pPr>
        <w:jc w:val="both"/>
      </w:pPr>
      <w:r>
        <w:rPr>
          <w:rFonts w:cs="Calibri"/>
        </w:rPr>
        <w:t xml:space="preserve">Zamawiający przewiduje również </w:t>
      </w:r>
      <w:r>
        <w:t xml:space="preserve">w przypadku opisanym w </w:t>
      </w:r>
      <w:r>
        <w:rPr>
          <w:rFonts w:cstheme="minorHAnsi"/>
        </w:rPr>
        <w:t>§</w:t>
      </w:r>
      <w:r>
        <w:t xml:space="preserve">6b ust 2 pkt 2.8 IPU </w:t>
      </w:r>
      <w:r>
        <w:rPr>
          <w:rFonts w:cs="Calibri"/>
        </w:rPr>
        <w:t>możliwość odstąpienia od umowy lub zlecenia wykonania zastępczego w przypadku trzykrotnego wystawienia protokołu odbioru tego samego oprogramowania z błędami lub opóźnienia w realizacji Umowy o ponad 30 dni. Wszystkie te zapisy chronią wystarczająco dobrze interes Zamawiającego i nie ma powodu wprowadzania dodatkowego zaostrzenia wnioskowanego przez Odwołującego.</w:t>
      </w:r>
    </w:p>
    <w:p w14:paraId="2CE569C2" w14:textId="5A5FE375" w:rsidR="00C458C2" w:rsidRDefault="00C458C2" w:rsidP="00C458C2">
      <w:pPr>
        <w:jc w:val="both"/>
      </w:pPr>
      <w:r>
        <w:t xml:space="preserve">Intencją Zamawiającego jest wykorzystanie prototypu Systemu do dalszych prac nad docelowym rozwiązaniem. Wskazuje na to definicja Prototypu zamieszczona w SOPZ („Prototyp Systemu to </w:t>
      </w:r>
      <w:r>
        <w:rPr>
          <w:u w:val="single"/>
        </w:rPr>
        <w:t>demonstracyjna wersja systemu SIPWW</w:t>
      </w:r>
      <w:r>
        <w:t xml:space="preserve"> wytworzona w celu zademonstrowania zdolności </w:t>
      </w:r>
      <w:r>
        <w:rPr>
          <w:u w:val="single"/>
        </w:rPr>
        <w:t>poprawnego funkcjonowania poszczególnych komponentów</w:t>
      </w:r>
      <w:r>
        <w:t xml:space="preserve">. Prototyp </w:t>
      </w:r>
      <w:r>
        <w:rPr>
          <w:u w:val="single"/>
        </w:rPr>
        <w:t>posiada część funkcjonalności docelowego Systemu SIPWW</w:t>
      </w:r>
      <w:r>
        <w:t>, określoną w ofercie Wykonawcy…”). Aby jednak uniknąć wątpliwości interpretacyjnych, Zamawiający uzupełnia SOPZ dodając wymaganie WNF.3.7.5 o brzmieniu:</w:t>
      </w:r>
    </w:p>
    <w:p w14:paraId="781712A9" w14:textId="77777777" w:rsidR="00C458C2" w:rsidRDefault="00C458C2" w:rsidP="00C458C2">
      <w:pPr>
        <w:jc w:val="both"/>
        <w:rPr>
          <w:i/>
          <w:iCs/>
        </w:rPr>
      </w:pPr>
      <w:r>
        <w:rPr>
          <w:i/>
          <w:iCs/>
        </w:rPr>
        <w:t>Komponenty Prototypu przedstawianego przez wyłonionego Wykonawcę, po jego zweryfikowaniu przez Zamawiającego, będą wykorzystane w Oprogramowaniu, które będzie dostarczane w ramach niniejszego Zamówienia.</w:t>
      </w:r>
    </w:p>
    <w:p w14:paraId="2833DFC6" w14:textId="77777777" w:rsidR="00C458C2" w:rsidRDefault="00C458C2" w:rsidP="00C458C2">
      <w:r>
        <w:t>Z wyżej wymienionych powodów wnosimy o oddalenie odwołania w tym punkcie.</w:t>
      </w:r>
    </w:p>
    <w:p w14:paraId="691C6480" w14:textId="77777777" w:rsidR="00C458C2" w:rsidRDefault="00C458C2" w:rsidP="00C458C2">
      <w:pPr>
        <w:rPr>
          <w:b/>
          <w:bCs/>
        </w:rPr>
      </w:pPr>
      <w:r>
        <w:rPr>
          <w:b/>
          <w:bCs/>
        </w:rPr>
        <w:t>Zarzut 2., dotyczący warunku udziału w postępowaniu</w:t>
      </w:r>
    </w:p>
    <w:p w14:paraId="01487DD6" w14:textId="77777777" w:rsidR="00C458C2" w:rsidRDefault="00C458C2" w:rsidP="00C458C2">
      <w:pPr>
        <w:jc w:val="both"/>
      </w:pPr>
      <w:r>
        <w:t>W zakresie warunku udziału w postępowaniu dla Części nr 1. dotyczącego zdolności technicznej lub zawodowej, pkt 1.2 lit. A ppkt 1 lit. c ogłoszenia (rozdział V ust. 1 pkt 1.2 lit. A ppkt 1 lit. c SIWZ): co najmniej 1 (jedno) zamówienie polegające na dostawie i wdrożeniu serwera usług danych 3D oraz mapowej aplikacji klienckiej dostępnej dla użytkowników przez standardowe przeglądarki internetowe także z wersją mobilną w sieci Internet, pozwalającej co najmniej na przeglądanie i analizowanie trójwymiarowych danych przestrzennych (zdjęć sferycznych, chmura punktów LIDAR).</w:t>
      </w:r>
    </w:p>
    <w:p w14:paraId="55102D78" w14:textId="3873E70D" w:rsidR="00C458C2" w:rsidRDefault="00C458C2" w:rsidP="00C458C2">
      <w:pPr>
        <w:jc w:val="both"/>
      </w:pPr>
      <w:r>
        <w:t>Wykonawca zarzuca Zamawiającemu, że wymagania referencyjne w przypadku dostawy i wdrożenia serwera usług danych 3D obejmują również aplikację mobilną, natomiast wymagania na funkcjonalność aplikacji mobilnej [WG.10] nie obejmują funkcjonalnoś</w:t>
      </w:r>
      <w:r w:rsidR="000C6165">
        <w:t>ci</w:t>
      </w:r>
      <w:r>
        <w:t xml:space="preserve"> związanej z usługami 3D. Zamawiający uwzględnia odwołanie w tym zakresie i modyfikuje warunek udziału w postępowaniu dla Części nr 1 dotyczącego zdolności technicznej lub zawodowej, pkt 1.2 lit. A ppkt 1 lit. c ogłoszenia (rozdział V ust. 1 pkt 1.2 lit. A ppkt 1 lit. c SIWZ), który otrzymuje brzmienie:</w:t>
      </w:r>
    </w:p>
    <w:p w14:paraId="68AD2D4F" w14:textId="77777777" w:rsidR="00C458C2" w:rsidRDefault="00C458C2" w:rsidP="00C458C2">
      <w:pPr>
        <w:jc w:val="both"/>
        <w:rPr>
          <w:i/>
          <w:iCs/>
        </w:rPr>
      </w:pPr>
      <w:r>
        <w:rPr>
          <w:i/>
          <w:iCs/>
        </w:rPr>
        <w:t>co najmniej 1 (jedno) zamówienie polegające na dostawie i wdrożeniu serwera usług danych 3D oraz mapowej aplikacji klienckiej dostępnej dla użytkowników przez standardowe przeglądarki internetowe, pozwalającej co najmniej na przeglądanie i analizowanie trójwymiarowych danych przestrzennych (zdjęć sferycznych, chmura punktów LIDAR). Przez przeglądanie należy rozumieć nawigację w przestrzeni 3D, zbliżanie i oddalanie od obiektów. Przez analizę trójwymiarowych danych należy rozumieć co najmniej dokonanie pomiaru w przestrzeni 3D.</w:t>
      </w:r>
    </w:p>
    <w:p w14:paraId="20F36840" w14:textId="77777777" w:rsidR="00F82F29" w:rsidRDefault="00C458C2" w:rsidP="007548A6">
      <w:pPr>
        <w:jc w:val="both"/>
      </w:pPr>
      <w:r>
        <w:t xml:space="preserve">W odpowiedzi na odwołanie zarzut uwzględniamy w całości, dlatego ustaje przyczyna wniesienia odwołania w tym punkcie. </w:t>
      </w:r>
    </w:p>
    <w:p w14:paraId="3C7E8CE1" w14:textId="4DA3D371" w:rsidR="00C458C2" w:rsidRPr="00F82F29" w:rsidRDefault="00C458C2" w:rsidP="007548A6">
      <w:pPr>
        <w:jc w:val="both"/>
      </w:pPr>
      <w:r>
        <w:rPr>
          <w:b/>
          <w:bCs/>
        </w:rPr>
        <w:lastRenderedPageBreak/>
        <w:t>Zarzut 3.,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>dotyczący</w:t>
      </w:r>
      <w:r>
        <w:rPr>
          <w:b/>
          <w:bCs/>
          <w:i/>
          <w:iCs/>
        </w:rPr>
        <w:t xml:space="preserve"> </w:t>
      </w:r>
      <w:r>
        <w:rPr>
          <w:b/>
          <w:bCs/>
        </w:rPr>
        <w:t xml:space="preserve">formularza ofertowego, wzoru umowy </w:t>
      </w:r>
      <w:r w:rsidR="007548A6">
        <w:rPr>
          <w:b/>
          <w:bCs/>
        </w:rPr>
        <w:t xml:space="preserve">(IPU) </w:t>
      </w:r>
      <w:r>
        <w:rPr>
          <w:b/>
          <w:bCs/>
        </w:rPr>
        <w:t>oraz opisu przedmiotu zamówienia Części nr 1. – w części obejmującej gwarancję i rękojmię oraz usługę „Asysty technicznej”.</w:t>
      </w:r>
    </w:p>
    <w:p w14:paraId="5DEF71FF" w14:textId="0E7D461F" w:rsidR="00C458C2" w:rsidRDefault="00C458C2" w:rsidP="00C458C2">
      <w:pPr>
        <w:jc w:val="both"/>
      </w:pPr>
      <w:r>
        <w:t>Odwołujący podnosi, że „postanowienia Umowy wskazują jednoznacznie na potrzebę Zamawiającego w zakresie posiadania możliwości zamawiania w toku realizacji umowy usług, które zapewnią z jednej strony możliwość rozszerzenia parametrów funkcjonalnych systemu, zaś z drugiej strony pozwolą na wykonywanie prac zapewniających administrację i utrzymanie systemu oraz wsparcie użytkowników w początkowej fazie jego użytkowania oraz wykonywanie innych prac związanych z przedmiotem zamówienia (np. przetworzenie dodatkowych danych, wykonywanie usług dodatkowych”, a ponadto „Zamawiający nie wskazuje parametrów umożliwiających rzet</w:t>
      </w:r>
      <w:r w:rsidR="007548A6">
        <w:t>elną wycenę zakresu tych prac i </w:t>
      </w:r>
      <w:r>
        <w:t xml:space="preserve">skalkulowanie ich wartości” (str. 5 Odwołania, sekcja: </w:t>
      </w:r>
      <w:r>
        <w:rPr>
          <w:i/>
          <w:iCs/>
        </w:rPr>
        <w:t>Gwarancja i asysta techniczna</w:t>
      </w:r>
      <w:r>
        <w:t>). Zamawiający nie obejmuje zakresem postępowania zadań w zakresie dodatkowych prac rozwojowych. Wynika to jednak ze świadomej decyzji określającej potrzeby Zamawiającego, który pozostawia jako element Zamówienia jedynie asystę techniczną. Zamawiający zamierza zamawiać w przyszłości prace rozwojowe, jednak będzie podejmować decyzje w tym zakresie na podstawie doświadczeń wynikających z bieżącej eksploatacji systemu i w ramach odrębnych postępowań. Ma to również związek z finansowaniem Zamówienia, ze środków Wielkopolskiego Programu Rozwoju Regionalnego na lata 2014 – 2020.</w:t>
      </w:r>
    </w:p>
    <w:p w14:paraId="45F530CF" w14:textId="77777777" w:rsidR="00C458C2" w:rsidRDefault="00C458C2" w:rsidP="00C458C2">
      <w:pPr>
        <w:jc w:val="both"/>
      </w:pPr>
      <w:r>
        <w:t>Odnosząc się do poszczególnych zarzutów Odwołującego Zamawiający stwierdza, że:</w:t>
      </w:r>
    </w:p>
    <w:p w14:paraId="6A5E41A0" w14:textId="4F1CA491" w:rsidR="00C458C2" w:rsidRDefault="00C458C2" w:rsidP="00C458C2">
      <w:pPr>
        <w:pStyle w:val="Akapitzlist"/>
        <w:numPr>
          <w:ilvl w:val="0"/>
          <w:numId w:val="5"/>
        </w:numPr>
        <w:spacing w:after="160" w:line="256" w:lineRule="auto"/>
        <w:contextualSpacing/>
        <w:jc w:val="both"/>
      </w:pPr>
      <w:r>
        <w:t>żądanie usunięcia obecnych opcji, tj. dodatkowych licencji i dodatkowych szkoleń jest niezasadne. Jeśli Zamawiający uznaje, że takie opcje są mu potrzebne, to ma do tego prawo</w:t>
      </w:r>
      <w:r w:rsidR="000C6165">
        <w:t>.</w:t>
      </w:r>
      <w:r>
        <w:t xml:space="preserve"> </w:t>
      </w:r>
    </w:p>
    <w:p w14:paraId="3D087B74" w14:textId="01CBA371" w:rsidR="00C458C2" w:rsidRDefault="000C6165" w:rsidP="00C458C2">
      <w:pPr>
        <w:pStyle w:val="Akapitzlist"/>
        <w:numPr>
          <w:ilvl w:val="0"/>
          <w:numId w:val="5"/>
        </w:numPr>
        <w:spacing w:after="160" w:line="256" w:lineRule="auto"/>
        <w:contextualSpacing/>
        <w:jc w:val="both"/>
      </w:pPr>
      <w:r>
        <w:t>z</w:t>
      </w:r>
      <w:r w:rsidR="00C458C2">
        <w:t>arzut braku parametrów umożliwiających rzetelną wycenę zakresu tych prac i skalkulowanie ich wartości jest niezasadny, gdyż par</w:t>
      </w:r>
      <w:r w:rsidR="007548A6">
        <w:t>.</w:t>
      </w:r>
      <w:r w:rsidR="00C458C2">
        <w:t xml:space="preserve"> 11 ust</w:t>
      </w:r>
      <w:r w:rsidR="007548A6">
        <w:t>.</w:t>
      </w:r>
      <w:r w:rsidR="00C458C2">
        <w:t xml:space="preserve"> 5.1-5.4 </w:t>
      </w:r>
      <w:r w:rsidR="007548A6">
        <w:t xml:space="preserve">IPU </w:t>
      </w:r>
      <w:r w:rsidR="00C458C2">
        <w:t>podaje przewidywany wymiar czasowy asysty. Dla uniknięcia wątpliwości Zmawiający dokonuje zmiany zapisów zastępując słowo „</w:t>
      </w:r>
      <w:r w:rsidR="00C458C2">
        <w:rPr>
          <w:i/>
          <w:iCs/>
        </w:rPr>
        <w:t>minimalny</w:t>
      </w:r>
      <w:r w:rsidR="00C458C2">
        <w:t>” słowem „</w:t>
      </w:r>
      <w:r w:rsidR="00C458C2">
        <w:rPr>
          <w:i/>
          <w:iCs/>
        </w:rPr>
        <w:t>maksymalny</w:t>
      </w:r>
      <w:r w:rsidR="00C458C2">
        <w:t>”.</w:t>
      </w:r>
    </w:p>
    <w:p w14:paraId="0974F34D" w14:textId="1B57562E" w:rsidR="00C458C2" w:rsidRDefault="00C458C2" w:rsidP="00C458C2">
      <w:pPr>
        <w:pStyle w:val="Akapitzlist"/>
        <w:numPr>
          <w:ilvl w:val="0"/>
          <w:numId w:val="5"/>
        </w:numPr>
        <w:spacing w:after="160" w:line="256" w:lineRule="auto"/>
        <w:contextualSpacing/>
        <w:jc w:val="both"/>
      </w:pPr>
      <w:r>
        <w:t>Zamawiający w par</w:t>
      </w:r>
      <w:r w:rsidR="007548A6">
        <w:t>.</w:t>
      </w:r>
      <w:r>
        <w:t xml:space="preserve"> 11 ust</w:t>
      </w:r>
      <w:r w:rsidR="007548A6">
        <w:t>.</w:t>
      </w:r>
      <w:r>
        <w:t xml:space="preserve"> 6 uzupełnia zapis „</w:t>
      </w:r>
      <w:r>
        <w:rPr>
          <w:i/>
          <w:iCs/>
        </w:rPr>
        <w:t>Godziny niewykorzystane w danym okresie przechodzą na następny okres</w:t>
      </w:r>
      <w:r>
        <w:t>” poprzez dodanie „</w:t>
      </w:r>
      <w:r>
        <w:rPr>
          <w:i/>
          <w:iCs/>
        </w:rPr>
        <w:t>jednakże nie dłużej niż do końca obowiązywania gwarancji.</w:t>
      </w:r>
      <w:r>
        <w:t>”</w:t>
      </w:r>
    </w:p>
    <w:p w14:paraId="66A68280" w14:textId="77777777" w:rsidR="00C458C2" w:rsidRDefault="00C458C2" w:rsidP="00C458C2">
      <w:pPr>
        <w:jc w:val="both"/>
      </w:pPr>
      <w:r>
        <w:t>Wszystkie te modyfikacje pozwalają na jednoznaczne obliczenie potrzebnego wymiaru dni przeznaczonych na usługę asysty technicznej, a tym samym umożliwiają rzetelną wycenę zakresu tych prac i skalkulowanie ich wartości.</w:t>
      </w:r>
    </w:p>
    <w:p w14:paraId="3C01B103" w14:textId="3230B069" w:rsidR="00C00A8F" w:rsidRPr="00F82F29" w:rsidRDefault="00C458C2" w:rsidP="00727753">
      <w:pPr>
        <w:jc w:val="both"/>
        <w:rPr>
          <w:sz w:val="20"/>
          <w:szCs w:val="20"/>
        </w:rPr>
      </w:pPr>
      <w:r>
        <w:t>Ze względu na częściowe uwzględnienie żądań Wykonawcy ustaje p</w:t>
      </w:r>
      <w:r w:rsidR="00727753">
        <w:t>rzyczyna wniesienia odwołania w </w:t>
      </w:r>
      <w:r>
        <w:t>zakresie w jakim zarzut został uwzględniony przez Zamawiającego. W pozostałym zakresie, z uwagi na niezasadność zarzutów wskazanych w tym punkcie, nieuwzględnionych przez Zamawiającego, wnosimy o oddalenie odwołania. Mając powyższe na uwadze, Zam</w:t>
      </w:r>
      <w:r w:rsidR="00727753">
        <w:t>awiający wnosi jak na wstępie i </w:t>
      </w:r>
      <w:r>
        <w:t>zgodnie z ww. argumentacją wnosi o oddalenie odwołania</w:t>
      </w:r>
      <w:r w:rsidR="00727753">
        <w:t xml:space="preserve"> </w:t>
      </w:r>
      <w:r>
        <w:t>- tj. oddalenie w zakresie nieuwzględnionym.</w:t>
      </w:r>
    </w:p>
    <w:p w14:paraId="10EC86A9" w14:textId="49367CC1" w:rsidR="00F82F29" w:rsidRPr="00F82F29" w:rsidRDefault="00F82F29" w:rsidP="00F82F29">
      <w:pPr>
        <w:spacing w:after="0" w:line="240" w:lineRule="auto"/>
        <w:ind w:left="4956"/>
        <w:jc w:val="center"/>
        <w:rPr>
          <w:b/>
        </w:rPr>
      </w:pPr>
      <w:r w:rsidRPr="00F82F29">
        <w:rPr>
          <w:b/>
        </w:rPr>
        <w:t>CZŁONEK ZARZĄDU</w:t>
      </w:r>
    </w:p>
    <w:p w14:paraId="4A5CDC98" w14:textId="134099B8" w:rsidR="00F82F29" w:rsidRPr="00F82F29" w:rsidRDefault="00F82F29" w:rsidP="00F82F29">
      <w:pPr>
        <w:spacing w:after="0" w:line="240" w:lineRule="auto"/>
        <w:ind w:left="4956"/>
        <w:jc w:val="center"/>
        <w:rPr>
          <w:b/>
        </w:rPr>
      </w:pPr>
      <w:r w:rsidRPr="00F82F29">
        <w:rPr>
          <w:b/>
        </w:rPr>
        <w:t>/-/</w:t>
      </w:r>
    </w:p>
    <w:p w14:paraId="3055D3E7" w14:textId="7EC149E5" w:rsidR="00F82F29" w:rsidRPr="00F82F29" w:rsidRDefault="00F82F29" w:rsidP="00F82F29">
      <w:pPr>
        <w:spacing w:after="0" w:line="240" w:lineRule="auto"/>
        <w:ind w:left="4956"/>
        <w:jc w:val="center"/>
        <w:rPr>
          <w:b/>
        </w:rPr>
      </w:pPr>
      <w:r w:rsidRPr="00F82F29">
        <w:rPr>
          <w:b/>
        </w:rPr>
        <w:t>MARZENA WODZIŃSKA</w:t>
      </w:r>
      <w:bookmarkStart w:id="0" w:name="_GoBack"/>
      <w:bookmarkEnd w:id="0"/>
    </w:p>
    <w:p w14:paraId="7BBE4770" w14:textId="7898F0C7" w:rsidR="00F82F29" w:rsidRPr="00F82F29" w:rsidRDefault="00F82F29" w:rsidP="00F82F29">
      <w:pPr>
        <w:spacing w:after="0" w:line="240" w:lineRule="auto"/>
        <w:rPr>
          <w:b/>
        </w:rPr>
      </w:pPr>
    </w:p>
    <w:p w14:paraId="680A8C7F" w14:textId="77777777" w:rsidR="00F82F29" w:rsidRPr="00F82F29" w:rsidRDefault="00F82F29" w:rsidP="00F82F29">
      <w:pPr>
        <w:spacing w:after="0" w:line="240" w:lineRule="auto"/>
        <w:ind w:left="4956" w:firstLine="708"/>
        <w:rPr>
          <w:b/>
        </w:rPr>
      </w:pPr>
    </w:p>
    <w:p w14:paraId="4B50C035" w14:textId="285BE26F" w:rsidR="00F82F29" w:rsidRPr="00F82F29" w:rsidRDefault="00F82F29" w:rsidP="00F82F29">
      <w:pPr>
        <w:spacing w:after="0" w:line="240" w:lineRule="auto"/>
        <w:ind w:left="4956" w:firstLine="708"/>
        <w:rPr>
          <w:b/>
        </w:rPr>
      </w:pPr>
      <w:r w:rsidRPr="00F82F29">
        <w:rPr>
          <w:b/>
        </w:rPr>
        <w:t>WICEMARSZAŁEK WOJEWÓDZTWA</w:t>
      </w:r>
    </w:p>
    <w:p w14:paraId="4CD49F4D" w14:textId="2BB2314F" w:rsidR="00F82F29" w:rsidRPr="00F82F29" w:rsidRDefault="00F82F29" w:rsidP="00F82F29">
      <w:pPr>
        <w:spacing w:after="0" w:line="240" w:lineRule="auto"/>
        <w:ind w:left="4956"/>
        <w:jc w:val="center"/>
        <w:rPr>
          <w:b/>
        </w:rPr>
      </w:pPr>
      <w:r w:rsidRPr="00F82F29">
        <w:rPr>
          <w:b/>
        </w:rPr>
        <w:t>/-/</w:t>
      </w:r>
    </w:p>
    <w:p w14:paraId="6E1A64CF" w14:textId="3D025199" w:rsidR="00F82F29" w:rsidRPr="00F82F29" w:rsidRDefault="00F82F29" w:rsidP="00F82F29">
      <w:pPr>
        <w:spacing w:after="0" w:line="240" w:lineRule="auto"/>
        <w:ind w:left="4956"/>
        <w:jc w:val="center"/>
        <w:rPr>
          <w:b/>
        </w:rPr>
      </w:pPr>
      <w:r w:rsidRPr="00F82F29">
        <w:rPr>
          <w:b/>
        </w:rPr>
        <w:t>WOJCIECH JANKOWIAK</w:t>
      </w:r>
    </w:p>
    <w:sectPr w:rsidR="00F82F29" w:rsidRPr="00F82F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6CCDC" w14:textId="77777777" w:rsidR="00146DA1" w:rsidRDefault="00146DA1" w:rsidP="00C00A8F">
      <w:pPr>
        <w:spacing w:after="0" w:line="240" w:lineRule="auto"/>
      </w:pPr>
      <w:r>
        <w:separator/>
      </w:r>
    </w:p>
  </w:endnote>
  <w:endnote w:type="continuationSeparator" w:id="0">
    <w:p w14:paraId="4E1FB478" w14:textId="77777777" w:rsidR="00146DA1" w:rsidRDefault="00146DA1" w:rsidP="00C0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197520"/>
      <w:docPartObj>
        <w:docPartGallery w:val="Page Numbers (Bottom of Page)"/>
        <w:docPartUnique/>
      </w:docPartObj>
    </w:sdtPr>
    <w:sdtEndPr/>
    <w:sdtContent>
      <w:p w14:paraId="70566A97" w14:textId="6A75EA81" w:rsidR="00882ED2" w:rsidRDefault="00882E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F29">
          <w:rPr>
            <w:noProof/>
          </w:rPr>
          <w:t>5</w:t>
        </w:r>
        <w:r>
          <w:fldChar w:fldCharType="end"/>
        </w:r>
      </w:p>
    </w:sdtContent>
  </w:sdt>
  <w:p w14:paraId="1829C6E0" w14:textId="3E2D710A" w:rsidR="00C00A8F" w:rsidRDefault="00C00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9A87F" w14:textId="77777777" w:rsidR="00146DA1" w:rsidRDefault="00146DA1" w:rsidP="00C00A8F">
      <w:pPr>
        <w:spacing w:after="0" w:line="240" w:lineRule="auto"/>
      </w:pPr>
      <w:r>
        <w:separator/>
      </w:r>
    </w:p>
  </w:footnote>
  <w:footnote w:type="continuationSeparator" w:id="0">
    <w:p w14:paraId="5A8B4992" w14:textId="77777777" w:rsidR="00146DA1" w:rsidRDefault="00146DA1" w:rsidP="00C00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EA0"/>
    <w:multiLevelType w:val="hybridMultilevel"/>
    <w:tmpl w:val="CA522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1D1"/>
    <w:multiLevelType w:val="hybridMultilevel"/>
    <w:tmpl w:val="378ECA8C"/>
    <w:lvl w:ilvl="0" w:tplc="217CE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273B8D"/>
    <w:multiLevelType w:val="hybridMultilevel"/>
    <w:tmpl w:val="3DCAE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C00F1"/>
    <w:multiLevelType w:val="hybridMultilevel"/>
    <w:tmpl w:val="B0F8B466"/>
    <w:lvl w:ilvl="0" w:tplc="B5DC6276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C501E"/>
    <w:multiLevelType w:val="hybridMultilevel"/>
    <w:tmpl w:val="CE4013DE"/>
    <w:lvl w:ilvl="0" w:tplc="F1D06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B"/>
    <w:rsid w:val="000574D9"/>
    <w:rsid w:val="000A19D3"/>
    <w:rsid w:val="000C6165"/>
    <w:rsid w:val="000E68B3"/>
    <w:rsid w:val="000F3EF1"/>
    <w:rsid w:val="001156C2"/>
    <w:rsid w:val="0011789E"/>
    <w:rsid w:val="00146DA1"/>
    <w:rsid w:val="00161F98"/>
    <w:rsid w:val="001C0AD7"/>
    <w:rsid w:val="001C7E04"/>
    <w:rsid w:val="002057C7"/>
    <w:rsid w:val="002577E3"/>
    <w:rsid w:val="002B61CB"/>
    <w:rsid w:val="003B2296"/>
    <w:rsid w:val="00411D9C"/>
    <w:rsid w:val="004549D0"/>
    <w:rsid w:val="004A604F"/>
    <w:rsid w:val="004C481F"/>
    <w:rsid w:val="004F600C"/>
    <w:rsid w:val="00554ED3"/>
    <w:rsid w:val="005A2BC4"/>
    <w:rsid w:val="005B489F"/>
    <w:rsid w:val="00616BCB"/>
    <w:rsid w:val="006232AE"/>
    <w:rsid w:val="00657D27"/>
    <w:rsid w:val="006C14CE"/>
    <w:rsid w:val="00724B49"/>
    <w:rsid w:val="00727753"/>
    <w:rsid w:val="007548A6"/>
    <w:rsid w:val="00777271"/>
    <w:rsid w:val="007B11FE"/>
    <w:rsid w:val="0084131C"/>
    <w:rsid w:val="00871156"/>
    <w:rsid w:val="008763AA"/>
    <w:rsid w:val="00882ED2"/>
    <w:rsid w:val="008E1B5B"/>
    <w:rsid w:val="008F1EC8"/>
    <w:rsid w:val="00963142"/>
    <w:rsid w:val="00975276"/>
    <w:rsid w:val="009E22FE"/>
    <w:rsid w:val="009E64CB"/>
    <w:rsid w:val="00A07433"/>
    <w:rsid w:val="00A95471"/>
    <w:rsid w:val="00B133C9"/>
    <w:rsid w:val="00B759D0"/>
    <w:rsid w:val="00B8071A"/>
    <w:rsid w:val="00C00A8F"/>
    <w:rsid w:val="00C03177"/>
    <w:rsid w:val="00C43612"/>
    <w:rsid w:val="00C458C2"/>
    <w:rsid w:val="00C624E2"/>
    <w:rsid w:val="00D258E4"/>
    <w:rsid w:val="00DE510C"/>
    <w:rsid w:val="00E154DC"/>
    <w:rsid w:val="00E21190"/>
    <w:rsid w:val="00E52494"/>
    <w:rsid w:val="00F17BC1"/>
    <w:rsid w:val="00F31E4B"/>
    <w:rsid w:val="00F36EA0"/>
    <w:rsid w:val="00F77088"/>
    <w:rsid w:val="00F82F29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2FCB"/>
  <w15:docId w15:val="{91E081D8-2C1E-4695-AC16-8DCD9F74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B5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List Paragraph2"/>
    <w:basedOn w:val="Normalny"/>
    <w:link w:val="AkapitzlistZnak"/>
    <w:uiPriority w:val="34"/>
    <w:qFormat/>
    <w:rsid w:val="008E1B5B"/>
    <w:pPr>
      <w:spacing w:after="0" w:line="240" w:lineRule="auto"/>
      <w:ind w:left="720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60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60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60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6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60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0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574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C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7E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C7E04"/>
    <w:pPr>
      <w:spacing w:after="120" w:line="480" w:lineRule="auto"/>
      <w:ind w:left="283"/>
    </w:pPr>
    <w:rPr>
      <w:rFonts w:ascii="Calibri" w:eastAsia="Times New Roman" w:hAnsi="Calibri" w:cs="Calibri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7E04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A8F"/>
  </w:style>
  <w:style w:type="paragraph" w:styleId="Stopka">
    <w:name w:val="footer"/>
    <w:basedOn w:val="Normalny"/>
    <w:link w:val="StopkaZnak"/>
    <w:uiPriority w:val="99"/>
    <w:unhideWhenUsed/>
    <w:rsid w:val="00C00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A8F"/>
  </w:style>
  <w:style w:type="character" w:styleId="Hipercze">
    <w:name w:val="Hyperlink"/>
    <w:basedOn w:val="Domylnaczcionkaakapitu"/>
    <w:uiPriority w:val="99"/>
    <w:unhideWhenUsed/>
    <w:rsid w:val="00161F9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458C2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Kolorowa lista — akcent 11 Znak,List Paragraph2 Znak"/>
    <w:basedOn w:val="Domylnaczcionkaakapitu"/>
    <w:link w:val="Akapitzlist"/>
    <w:uiPriority w:val="34"/>
    <w:qFormat/>
    <w:locked/>
    <w:rsid w:val="00C458C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wolania@uzp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2222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Czerniejewski</dc:creator>
  <cp:lastModifiedBy>Hoffman Maciej</cp:lastModifiedBy>
  <cp:revision>31</cp:revision>
  <dcterms:created xsi:type="dcterms:W3CDTF">2019-07-18T10:11:00Z</dcterms:created>
  <dcterms:modified xsi:type="dcterms:W3CDTF">2019-08-06T13:09:00Z</dcterms:modified>
</cp:coreProperties>
</file>