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14:paraId="16F4D9F3" w14:textId="77777777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984752" w14:textId="77777777"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7F08493" wp14:editId="511AD5F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14:paraId="4FD034C8" w14:textId="77777777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A5A0BDB" w14:textId="77777777"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B859C75" w14:textId="77777777"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  <w:r w:rsidR="004C481F"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 nr sprawy BGW-III.272.2.2017</w:t>
            </w:r>
          </w:p>
        </w:tc>
      </w:tr>
      <w:tr w:rsidR="009E22FE" w:rsidRPr="009E22FE" w14:paraId="7E450C55" w14:textId="77777777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185B54D" w14:textId="77777777" w:rsidR="00B8071A" w:rsidRDefault="00C03177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Odpowiedź na odwołani</w:t>
            </w:r>
            <w:r w:rsidR="00411D9C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</w:p>
          <w:p w14:paraId="0188F9E2" w14:textId="59AB1C3A" w:rsidR="004C481F" w:rsidRPr="004549D0" w:rsidRDefault="004C481F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4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dot. KIO 143</w:t>
            </w:r>
            <w:r w:rsidR="001F42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Pr="00454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/19</w:t>
            </w:r>
            <w:r w:rsidR="00C031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EE6FB56" w14:textId="77777777"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</w:p>
        </w:tc>
      </w:tr>
    </w:tbl>
    <w:p w14:paraId="39F714BC" w14:textId="77777777"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14:paraId="56E353E0" w14:textId="77777777" w:rsidR="001C7E04" w:rsidRPr="00C00A8F" w:rsidRDefault="00C03177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Poznań, dnia 6 sierpnia</w:t>
      </w:r>
      <w:r w:rsidR="00C00A8F" w:rsidRPr="00C00A8F">
        <w:rPr>
          <w:rFonts w:asciiTheme="minorHAnsi" w:hAnsiTheme="minorHAnsi" w:cstheme="minorHAnsi"/>
          <w:bCs/>
          <w:sz w:val="24"/>
          <w:szCs w:val="24"/>
        </w:rPr>
        <w:t xml:space="preserve"> 2019 r. </w:t>
      </w:r>
    </w:p>
    <w:p w14:paraId="5AE45F24" w14:textId="151B7F6F" w:rsidR="00C458C2" w:rsidRDefault="00C458C2" w:rsidP="0075504A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2C0A6" w14:textId="77777777" w:rsidR="00C458C2" w:rsidRPr="00411D9C" w:rsidRDefault="00C458C2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Do:</w:t>
      </w:r>
    </w:p>
    <w:p w14:paraId="7E45483D" w14:textId="77777777" w:rsidR="004C481F" w:rsidRPr="00411D9C" w:rsidRDefault="004C481F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Prezes</w:t>
      </w:r>
      <w:r w:rsidR="00C458C2" w:rsidRPr="00411D9C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411D9C">
        <w:rPr>
          <w:rFonts w:asciiTheme="minorHAnsi" w:hAnsiTheme="minorHAnsi" w:cstheme="minorHAnsi"/>
          <w:b/>
          <w:bCs/>
          <w:sz w:val="28"/>
          <w:szCs w:val="28"/>
        </w:rPr>
        <w:t xml:space="preserve"> Krajowej Izby Odwoławczej</w:t>
      </w:r>
    </w:p>
    <w:p w14:paraId="42F1453F" w14:textId="77777777" w:rsidR="004C481F" w:rsidRPr="00411D9C" w:rsidRDefault="004C481F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 xml:space="preserve">ul. Postępu 17A </w:t>
      </w:r>
    </w:p>
    <w:p w14:paraId="3CFA49BE" w14:textId="77777777" w:rsidR="001C7E04" w:rsidRPr="00411D9C" w:rsidRDefault="00161F98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02-676 Warszawa</w:t>
      </w:r>
    </w:p>
    <w:p w14:paraId="68EBDF47" w14:textId="77777777" w:rsidR="00B759D0" w:rsidRPr="00411D9C" w:rsidRDefault="00094D3D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161F98" w:rsidRPr="00411D9C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odwolania@uzp.gov.pl</w:t>
        </w:r>
      </w:hyperlink>
    </w:p>
    <w:p w14:paraId="3BE19E28" w14:textId="77777777" w:rsidR="00B759D0" w:rsidRPr="00A43EC3" w:rsidRDefault="00B759D0" w:rsidP="00B759D0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14:paraId="76D09BEB" w14:textId="77777777" w:rsidR="00A43EC3" w:rsidRPr="00A43EC3" w:rsidRDefault="00A43EC3" w:rsidP="00A43EC3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A43EC3"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strona bip.umww.pl</w:t>
      </w:r>
    </w:p>
    <w:p w14:paraId="3BFA702C" w14:textId="77777777" w:rsidR="00A43EC3" w:rsidRPr="00A43EC3" w:rsidRDefault="00A43EC3" w:rsidP="00A43EC3">
      <w:pPr>
        <w:pStyle w:val="Tekstpodstawowywcity2"/>
        <w:tabs>
          <w:tab w:val="left" w:pos="0"/>
        </w:tabs>
        <w:spacing w:after="0" w:line="240" w:lineRule="auto"/>
        <w:ind w:left="4248"/>
      </w:pPr>
      <w:r w:rsidRPr="00A43EC3"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zainteresowani Wykonawcy</w:t>
      </w:r>
    </w:p>
    <w:p w14:paraId="597D2591" w14:textId="77777777" w:rsidR="00411D9C" w:rsidRDefault="00411D9C" w:rsidP="004C481F">
      <w:p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14:paraId="31171EFE" w14:textId="7B08BD0A" w:rsidR="001156C2" w:rsidRPr="00411D9C" w:rsidRDefault="00411D9C" w:rsidP="004C481F">
      <w:pPr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411D9C">
        <w:rPr>
          <w:rFonts w:cstheme="minorHAnsi"/>
          <w:b/>
          <w:color w:val="000000"/>
          <w:sz w:val="24"/>
          <w:szCs w:val="24"/>
          <w:u w:val="single"/>
        </w:rPr>
        <w:t>dot. KIO 143</w:t>
      </w:r>
      <w:r w:rsidR="001159F6">
        <w:rPr>
          <w:rFonts w:cstheme="minorHAnsi"/>
          <w:b/>
          <w:color w:val="000000"/>
          <w:sz w:val="24"/>
          <w:szCs w:val="24"/>
          <w:u w:val="single"/>
        </w:rPr>
        <w:t>9</w:t>
      </w:r>
      <w:r w:rsidRPr="00411D9C">
        <w:rPr>
          <w:rFonts w:cstheme="minorHAnsi"/>
          <w:b/>
          <w:color w:val="000000"/>
          <w:sz w:val="24"/>
          <w:szCs w:val="24"/>
          <w:u w:val="single"/>
        </w:rPr>
        <w:t>/19</w:t>
      </w:r>
    </w:p>
    <w:p w14:paraId="06FAF858" w14:textId="5AF48C48" w:rsidR="00411D9C" w:rsidRDefault="00411D9C" w:rsidP="0075504A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6515FC1E" w14:textId="77777777" w:rsidR="00C03177" w:rsidRPr="00C03177" w:rsidRDefault="00C03177" w:rsidP="00C03177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 w:rsidRPr="00C03177">
        <w:rPr>
          <w:rFonts w:cstheme="minorHAnsi"/>
          <w:b/>
          <w:color w:val="000000"/>
          <w:sz w:val="28"/>
          <w:szCs w:val="28"/>
        </w:rPr>
        <w:t xml:space="preserve">ODPOWIEDŹ </w:t>
      </w:r>
      <w:r>
        <w:rPr>
          <w:rFonts w:cstheme="minorHAnsi"/>
          <w:b/>
          <w:color w:val="000000"/>
          <w:sz w:val="28"/>
          <w:szCs w:val="28"/>
        </w:rPr>
        <w:t xml:space="preserve">ZAMAWIAJĄCEGO </w:t>
      </w:r>
      <w:r w:rsidR="00C458C2">
        <w:rPr>
          <w:rFonts w:cstheme="minorHAnsi"/>
          <w:b/>
          <w:color w:val="000000"/>
          <w:sz w:val="28"/>
          <w:szCs w:val="28"/>
        </w:rPr>
        <w:t>NA ODWOŁANIE</w:t>
      </w:r>
    </w:p>
    <w:p w14:paraId="2341DC66" w14:textId="72B68084" w:rsidR="00411D9C" w:rsidRDefault="00411D9C" w:rsidP="0075504A">
      <w:pPr>
        <w:spacing w:after="0" w:line="240" w:lineRule="auto"/>
        <w:jc w:val="both"/>
        <w:rPr>
          <w:i/>
        </w:rPr>
      </w:pPr>
    </w:p>
    <w:p w14:paraId="30B106A7" w14:textId="5D576530" w:rsidR="00C458C2" w:rsidRPr="00411D9C" w:rsidRDefault="00C458C2" w:rsidP="00C458C2">
      <w:pPr>
        <w:spacing w:after="0" w:line="240" w:lineRule="auto"/>
        <w:ind w:firstLine="708"/>
        <w:jc w:val="both"/>
        <w:rPr>
          <w:i/>
        </w:rPr>
      </w:pPr>
      <w:r w:rsidRPr="00411D9C">
        <w:rPr>
          <w:i/>
        </w:rPr>
        <w:t xml:space="preserve">Dotyczy: odwołania wniesionego przez </w:t>
      </w:r>
      <w:r w:rsidR="00D16273" w:rsidRPr="00D16273">
        <w:rPr>
          <w:rFonts w:cstheme="minorHAnsi"/>
          <w:i/>
        </w:rPr>
        <w:t>Intergraph Polska Sp. z o.o.</w:t>
      </w:r>
      <w:r w:rsidR="00D16273" w:rsidRPr="00411D9C">
        <w:rPr>
          <w:rFonts w:cstheme="minorHAnsi"/>
          <w:sz w:val="24"/>
          <w:szCs w:val="24"/>
        </w:rPr>
        <w:t xml:space="preserve"> </w:t>
      </w:r>
      <w:r w:rsidRPr="00411D9C">
        <w:rPr>
          <w:i/>
        </w:rPr>
        <w:t>do postępowania prowadzonego w trybie przetargu nieograniczonego pn. Dostawa, instalacja, konfiguracja i uruchomienie infrastruktury teleinformatycznej z oprogramowaniem standardowym i 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 Ogłoszenie o zamówieniu opublikowano w Dzienniku Urzędowym Unii Europejskiej pod numerem: 2019/S 134-329112 (dalej: „Postępowanie" lub „Zamówienie").</w:t>
      </w:r>
    </w:p>
    <w:p w14:paraId="7C71CFB3" w14:textId="5E6D4A67" w:rsidR="00C458C2" w:rsidRDefault="00C458C2" w:rsidP="007550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39F7C5" w14:textId="2853A47B" w:rsidR="007B11FE" w:rsidRPr="00411D9C" w:rsidRDefault="00411D9C" w:rsidP="00C458C2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411D9C">
        <w:rPr>
          <w:sz w:val="24"/>
          <w:szCs w:val="24"/>
        </w:rPr>
        <w:t>Działając na podstawie art. 186 ust. 1</w:t>
      </w:r>
      <w:r w:rsidRPr="00411D9C">
        <w:rPr>
          <w:rFonts w:ascii="Calibri" w:hAnsi="Calibri" w:cs="Calibri"/>
          <w:color w:val="000000"/>
          <w:sz w:val="24"/>
          <w:szCs w:val="24"/>
        </w:rPr>
        <w:t xml:space="preserve"> ustawy z dnia 29 stycznia 2004 r. Prawo zamówień publicznych (tekst jednolity Dz. U. z 2018 r., poz. 1986 z</w:t>
      </w:r>
      <w:r w:rsidRPr="00411D9C">
        <w:rPr>
          <w:rFonts w:cstheme="minorHAnsi"/>
          <w:color w:val="000000"/>
          <w:sz w:val="24"/>
          <w:szCs w:val="24"/>
        </w:rPr>
        <w:t xml:space="preserve">e </w:t>
      </w:r>
      <w:r w:rsidRPr="00411D9C">
        <w:rPr>
          <w:rFonts w:ascii="Calibri" w:hAnsi="Calibri" w:cs="Calibri"/>
          <w:color w:val="000000"/>
          <w:sz w:val="24"/>
          <w:szCs w:val="24"/>
        </w:rPr>
        <w:t>zm.)</w:t>
      </w:r>
      <w:r w:rsidRPr="00411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dalej: </w:t>
      </w:r>
      <w:r w:rsidRPr="00411D9C">
        <w:rPr>
          <w:sz w:val="24"/>
          <w:szCs w:val="24"/>
        </w:rPr>
        <w:t>Pzp, w</w:t>
      </w:r>
      <w:r>
        <w:rPr>
          <w:rFonts w:cstheme="minorHAnsi"/>
          <w:color w:val="000000"/>
          <w:sz w:val="24"/>
          <w:szCs w:val="24"/>
        </w:rPr>
        <w:t> </w:t>
      </w:r>
      <w:r w:rsidR="004C481F" w:rsidRPr="00411D9C">
        <w:rPr>
          <w:rFonts w:cstheme="minorHAnsi"/>
          <w:color w:val="000000"/>
          <w:sz w:val="24"/>
          <w:szCs w:val="24"/>
        </w:rPr>
        <w:t xml:space="preserve">odpowiedzi na </w:t>
      </w:r>
      <w:r w:rsidR="00C458C2" w:rsidRPr="00411D9C">
        <w:rPr>
          <w:rFonts w:cstheme="minorHAnsi"/>
          <w:color w:val="000000"/>
          <w:sz w:val="24"/>
          <w:szCs w:val="24"/>
        </w:rPr>
        <w:t>odwołanie</w:t>
      </w:r>
      <w:r w:rsidR="00C03177" w:rsidRPr="00411D9C">
        <w:rPr>
          <w:rFonts w:cstheme="minorHAnsi"/>
          <w:color w:val="000000"/>
          <w:sz w:val="24"/>
          <w:szCs w:val="24"/>
        </w:rPr>
        <w:t xml:space="preserve"> wobec treści Ogłoszenia o zamówieniu i SIWZ</w:t>
      </w:r>
      <w:r w:rsidR="00C03177" w:rsidRPr="00411D9C">
        <w:rPr>
          <w:rFonts w:cstheme="minorHAnsi"/>
          <w:sz w:val="24"/>
          <w:szCs w:val="24"/>
        </w:rPr>
        <w:t xml:space="preserve"> wniesione przez </w:t>
      </w:r>
      <w:r w:rsidR="001F426C">
        <w:rPr>
          <w:rFonts w:cstheme="minorHAnsi"/>
          <w:sz w:val="24"/>
          <w:szCs w:val="24"/>
        </w:rPr>
        <w:t xml:space="preserve">Intergraph Polska </w:t>
      </w:r>
      <w:r w:rsidR="00C03177" w:rsidRPr="00411D9C">
        <w:rPr>
          <w:rFonts w:cstheme="minorHAnsi"/>
          <w:sz w:val="24"/>
          <w:szCs w:val="24"/>
        </w:rPr>
        <w:t>Sp. z o.o. z siedzibą w</w:t>
      </w:r>
      <w:r w:rsidR="001F426C">
        <w:rPr>
          <w:rFonts w:cstheme="minorHAnsi"/>
          <w:sz w:val="24"/>
          <w:szCs w:val="24"/>
        </w:rPr>
        <w:t xml:space="preserve"> Warszawie</w:t>
      </w:r>
      <w:r w:rsidR="00C03177" w:rsidRPr="00411D9C">
        <w:rPr>
          <w:rFonts w:cstheme="minorHAnsi"/>
          <w:sz w:val="24"/>
          <w:szCs w:val="24"/>
        </w:rPr>
        <w:t>, ul. </w:t>
      </w:r>
      <w:r w:rsidR="001F426C">
        <w:rPr>
          <w:rFonts w:cstheme="minorHAnsi"/>
          <w:sz w:val="24"/>
          <w:szCs w:val="24"/>
        </w:rPr>
        <w:t>Konstruktorska 12A</w:t>
      </w:r>
      <w:r w:rsidR="00C03177" w:rsidRPr="00411D9C">
        <w:rPr>
          <w:rFonts w:cstheme="minorHAnsi"/>
          <w:sz w:val="24"/>
          <w:szCs w:val="24"/>
        </w:rPr>
        <w:t xml:space="preserve">, </w:t>
      </w:r>
      <w:r w:rsidR="001F426C">
        <w:rPr>
          <w:rFonts w:cstheme="minorHAnsi"/>
          <w:sz w:val="24"/>
          <w:szCs w:val="24"/>
        </w:rPr>
        <w:t>02</w:t>
      </w:r>
      <w:r w:rsidR="00C03177" w:rsidRPr="00411D9C">
        <w:rPr>
          <w:rFonts w:cstheme="minorHAnsi"/>
          <w:sz w:val="24"/>
          <w:szCs w:val="24"/>
        </w:rPr>
        <w:t>-</w:t>
      </w:r>
      <w:r w:rsidR="001F426C">
        <w:rPr>
          <w:rFonts w:cstheme="minorHAnsi"/>
          <w:sz w:val="24"/>
          <w:szCs w:val="24"/>
        </w:rPr>
        <w:t>673</w:t>
      </w:r>
      <w:r w:rsidR="00C03177" w:rsidRPr="00411D9C">
        <w:rPr>
          <w:rFonts w:cstheme="minorHAnsi"/>
          <w:sz w:val="24"/>
          <w:szCs w:val="24"/>
        </w:rPr>
        <w:t xml:space="preserve"> </w:t>
      </w:r>
      <w:r w:rsidR="001F426C">
        <w:rPr>
          <w:rFonts w:cstheme="minorHAnsi"/>
          <w:sz w:val="24"/>
          <w:szCs w:val="24"/>
        </w:rPr>
        <w:t>Wa</w:t>
      </w:r>
      <w:r w:rsidR="0084372D">
        <w:rPr>
          <w:rFonts w:cstheme="minorHAnsi"/>
          <w:sz w:val="24"/>
          <w:szCs w:val="24"/>
        </w:rPr>
        <w:t>r</w:t>
      </w:r>
      <w:r w:rsidR="001F426C">
        <w:rPr>
          <w:rFonts w:cstheme="minorHAnsi"/>
          <w:sz w:val="24"/>
          <w:szCs w:val="24"/>
        </w:rPr>
        <w:t>szawa</w:t>
      </w:r>
      <w:r w:rsidR="00C03177" w:rsidRPr="00411D9C">
        <w:rPr>
          <w:rFonts w:cstheme="minorHAnsi"/>
          <w:color w:val="000000"/>
          <w:sz w:val="24"/>
          <w:szCs w:val="24"/>
        </w:rPr>
        <w:t xml:space="preserve"> z dnia 25 lipca </w:t>
      </w:r>
      <w:r w:rsidR="001156C2" w:rsidRPr="00411D9C">
        <w:rPr>
          <w:rFonts w:cstheme="minorHAnsi"/>
          <w:color w:val="000000"/>
          <w:sz w:val="24"/>
          <w:szCs w:val="24"/>
        </w:rPr>
        <w:t>2019 r.</w:t>
      </w:r>
      <w:r w:rsidRPr="00411D9C">
        <w:rPr>
          <w:rFonts w:cstheme="minorHAnsi"/>
          <w:color w:val="000000"/>
          <w:sz w:val="24"/>
          <w:szCs w:val="24"/>
        </w:rPr>
        <w:t>,</w:t>
      </w:r>
      <w:r w:rsidR="004C481F" w:rsidRPr="00411D9C">
        <w:rPr>
          <w:rFonts w:cstheme="minorHAnsi"/>
          <w:color w:val="000000"/>
          <w:sz w:val="24"/>
          <w:szCs w:val="24"/>
        </w:rPr>
        <w:t xml:space="preserve"> </w:t>
      </w:r>
      <w:r w:rsidR="004C481F" w:rsidRPr="00411D9C">
        <w:rPr>
          <w:rFonts w:cstheme="minorHAnsi"/>
          <w:b/>
          <w:color w:val="000000"/>
          <w:sz w:val="24"/>
          <w:szCs w:val="24"/>
        </w:rPr>
        <w:t>KIO 143</w:t>
      </w:r>
      <w:r w:rsidR="001159F6">
        <w:rPr>
          <w:rFonts w:cstheme="minorHAnsi"/>
          <w:b/>
          <w:color w:val="000000"/>
          <w:sz w:val="24"/>
          <w:szCs w:val="24"/>
        </w:rPr>
        <w:t>9</w:t>
      </w:r>
      <w:r w:rsidR="004C481F" w:rsidRPr="00411D9C">
        <w:rPr>
          <w:rFonts w:cstheme="minorHAnsi"/>
          <w:b/>
          <w:color w:val="000000"/>
          <w:sz w:val="24"/>
          <w:szCs w:val="24"/>
        </w:rPr>
        <w:t>/19</w:t>
      </w:r>
      <w:r w:rsidR="004C481F" w:rsidRPr="00411D9C">
        <w:rPr>
          <w:rFonts w:cstheme="minorHAnsi"/>
          <w:color w:val="000000"/>
          <w:sz w:val="24"/>
          <w:szCs w:val="24"/>
        </w:rPr>
        <w:t>,</w:t>
      </w:r>
      <w:r w:rsidR="00C03177" w:rsidRPr="00411D9C">
        <w:rPr>
          <w:rFonts w:cstheme="minorHAnsi"/>
          <w:color w:val="000000"/>
          <w:sz w:val="24"/>
          <w:szCs w:val="24"/>
        </w:rPr>
        <w:t xml:space="preserve"> Zamawiając</w:t>
      </w:r>
      <w:r w:rsidRPr="00411D9C">
        <w:rPr>
          <w:rFonts w:cstheme="minorHAnsi"/>
          <w:color w:val="000000"/>
          <w:sz w:val="24"/>
          <w:szCs w:val="24"/>
        </w:rPr>
        <w:t>y wyjaśnia i podaje</w:t>
      </w:r>
      <w:r w:rsidR="009C7A83">
        <w:rPr>
          <w:rFonts w:cstheme="minorHAnsi"/>
          <w:color w:val="000000"/>
          <w:sz w:val="24"/>
          <w:szCs w:val="24"/>
        </w:rPr>
        <w:t>.</w:t>
      </w:r>
    </w:p>
    <w:p w14:paraId="20F1EB0B" w14:textId="103DEE69" w:rsidR="00C03177" w:rsidRPr="009C7A83" w:rsidRDefault="00C03177" w:rsidP="009C7A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C6B839" w14:textId="77777777" w:rsidR="001159F6" w:rsidRPr="009C7A83" w:rsidRDefault="001159F6" w:rsidP="009C7A83">
      <w:pPr>
        <w:ind w:firstLine="708"/>
        <w:jc w:val="both"/>
        <w:rPr>
          <w:sz w:val="24"/>
          <w:szCs w:val="24"/>
        </w:rPr>
      </w:pPr>
      <w:r w:rsidRPr="009C7A83">
        <w:rPr>
          <w:sz w:val="24"/>
          <w:szCs w:val="24"/>
        </w:rPr>
        <w:t>Po zapoznaniu się z treścią odwołania, w tym z zarzutami sformułowanymi przez Odwołującego, uzasadnieniem tych zarzutów oraz żądaniami określonymi w odwołaniu Zamawiający:</w:t>
      </w:r>
    </w:p>
    <w:p w14:paraId="4D964337" w14:textId="32EFE1BA" w:rsidR="001159F6" w:rsidRDefault="009C7A83" w:rsidP="001159F6">
      <w:r>
        <w:t>1.</w:t>
      </w:r>
      <w:r>
        <w:tab/>
      </w:r>
      <w:r w:rsidR="001159F6">
        <w:t>decyduje się na uwzględnienie następujących zarzutów</w:t>
      </w:r>
      <w:r>
        <w:t>:</w:t>
      </w:r>
      <w:r w:rsidR="001159F6">
        <w:t xml:space="preserve"> </w:t>
      </w:r>
    </w:p>
    <w:p w14:paraId="189D6D06" w14:textId="77777777" w:rsidR="001159F6" w:rsidRDefault="001159F6" w:rsidP="001159F6">
      <w:pPr>
        <w:pStyle w:val="Akapitzlist"/>
        <w:numPr>
          <w:ilvl w:val="0"/>
          <w:numId w:val="9"/>
        </w:numPr>
        <w:spacing w:after="160" w:line="256" w:lineRule="auto"/>
        <w:ind w:left="426"/>
        <w:contextualSpacing/>
        <w:jc w:val="both"/>
      </w:pPr>
      <w:r>
        <w:t xml:space="preserve">zarzutu wskazanego w pkt I. ppkt c) odwołania dot. braku dopuszczenia rozwiązania równoważnego do układu WKID (102100). W związku z powyższym, Zamawiający dokonuje </w:t>
      </w:r>
      <w:r>
        <w:lastRenderedPageBreak/>
        <w:t>zmian w dokumentacji przetargowej opisanych szczegółowo w dalszej części niniejszej odpowiedzi na odwołanie.</w:t>
      </w:r>
    </w:p>
    <w:p w14:paraId="6A6C4310" w14:textId="1CD237F2" w:rsidR="001159F6" w:rsidRDefault="001159F6" w:rsidP="001159F6">
      <w:pPr>
        <w:pStyle w:val="Akapitzlist"/>
        <w:numPr>
          <w:ilvl w:val="0"/>
          <w:numId w:val="9"/>
        </w:numPr>
        <w:spacing w:after="160" w:line="256" w:lineRule="auto"/>
        <w:ind w:left="426"/>
        <w:contextualSpacing/>
        <w:jc w:val="both"/>
      </w:pPr>
      <w:r>
        <w:t>zarzutu wskazanego w pkt I ppkt d) odwołania dot. braku dopuszczenia rozwiązania równoważnego do protokołu dostępu do danych przestrzennych GeoREST w wymaganiach wskazanych w ppkt i</w:t>
      </w:r>
      <w:r w:rsidR="009C7A83">
        <w:t xml:space="preserve"> </w:t>
      </w:r>
      <w:r>
        <w:t>- v odwołania. W związku z powyższy</w:t>
      </w:r>
      <w:r w:rsidR="009C7A83">
        <w:t>m, Zamawiający dokonuje zmian w </w:t>
      </w:r>
      <w:r>
        <w:t xml:space="preserve">dokumentacji przetargowej opisanych szczegółowo w dalszej </w:t>
      </w:r>
      <w:r w:rsidR="009C7A83">
        <w:t>części niniejszej odpowiedzi na </w:t>
      </w:r>
      <w:r w:rsidR="004A1389">
        <w:t>odwołanie;</w:t>
      </w:r>
    </w:p>
    <w:p w14:paraId="5655AC61" w14:textId="055D4AB0" w:rsidR="001159F6" w:rsidRDefault="004A1389" w:rsidP="004A1389">
      <w:pPr>
        <w:pStyle w:val="Akapitzlist"/>
        <w:numPr>
          <w:ilvl w:val="0"/>
          <w:numId w:val="10"/>
        </w:numPr>
        <w:jc w:val="both"/>
      </w:pPr>
      <w:r>
        <w:t>w</w:t>
      </w:r>
      <w:r w:rsidR="009C7A83">
        <w:t xml:space="preserve"> pozostałym zakresie</w:t>
      </w:r>
      <w:r w:rsidR="001159F6">
        <w:t xml:space="preserve"> Zamawiający </w:t>
      </w:r>
      <w:r>
        <w:t>wnioskuje o oddalenie odwołania;</w:t>
      </w:r>
    </w:p>
    <w:p w14:paraId="2FC2F0D6" w14:textId="10BF9828" w:rsidR="001159F6" w:rsidRDefault="004A1389" w:rsidP="004A1389">
      <w:pPr>
        <w:pStyle w:val="Akapitzlist"/>
        <w:numPr>
          <w:ilvl w:val="0"/>
          <w:numId w:val="10"/>
        </w:numPr>
        <w:spacing w:after="160" w:line="256" w:lineRule="auto"/>
        <w:contextualSpacing/>
        <w:jc w:val="both"/>
      </w:pPr>
      <w:r>
        <w:t>p</w:t>
      </w:r>
      <w:r w:rsidR="001159F6">
        <w:t>onadto Zamawiający wnosi o przeprowadzenie dowodów przy</w:t>
      </w:r>
      <w:r w:rsidR="009C7A83">
        <w:t>wołanych w treści odpowiedzi na </w:t>
      </w:r>
      <w:r w:rsidR="001159F6">
        <w:t xml:space="preserve">odwołanie. </w:t>
      </w:r>
    </w:p>
    <w:p w14:paraId="649E1549" w14:textId="77777777" w:rsidR="001159F6" w:rsidRDefault="001159F6" w:rsidP="001159F6">
      <w:pPr>
        <w:pStyle w:val="Akapitzlist"/>
        <w:ind w:left="360"/>
      </w:pPr>
    </w:p>
    <w:p w14:paraId="5E65770B" w14:textId="3ECBE2F2" w:rsidR="001159F6" w:rsidRDefault="001159F6" w:rsidP="001159F6">
      <w:pPr>
        <w:rPr>
          <w:b/>
          <w:bCs/>
        </w:rPr>
      </w:pPr>
      <w:r>
        <w:rPr>
          <w:b/>
          <w:bCs/>
        </w:rPr>
        <w:t>Zarzut dotyczący wymaganej przez Zamawiającego funkcjonalności prototypu</w:t>
      </w:r>
      <w:r w:rsidR="009C7A83">
        <w:rPr>
          <w:b/>
          <w:bCs/>
        </w:rPr>
        <w:t>.</w:t>
      </w:r>
    </w:p>
    <w:p w14:paraId="7594DC7A" w14:textId="7E2B2022" w:rsidR="001159F6" w:rsidRDefault="001159F6" w:rsidP="001159F6">
      <w:pPr>
        <w:jc w:val="both"/>
      </w:pPr>
      <w:r>
        <w:t>Zamawiający w niniejszym postępowaniu oczekuje wyłonienia wykonawcy, który zrealizuje przedmiot umowy w terminie i z możliwie niskim ryzykiem niepowodzenia. W przypadku złożonego systemu informatycznego, jakim jest SIPWW, istotne jest czy Wykonawca dysponuje j</w:t>
      </w:r>
      <w:r w:rsidR="009C7A83">
        <w:t>uż elementami pozwalającymi na sprawne z</w:t>
      </w:r>
      <w:r>
        <w:t>budowanie docelowego rozwiązania</w:t>
      </w:r>
      <w:r w:rsidR="009C7A83">
        <w:t xml:space="preserve">. </w:t>
      </w:r>
      <w:r>
        <w:t>Jednym z mechanizmów, pozwalających na wyłonienie takiego Wykonawcy, jest zastosowanie mechanizmu próbki, którą składa się razem z ofertą i bada się na etapie oceny ofert</w:t>
      </w:r>
      <w:r>
        <w:rPr>
          <w:rStyle w:val="Odwoanieprzypisudolnego"/>
        </w:rPr>
        <w:footnoteReference w:id="1"/>
      </w:r>
      <w:r>
        <w:t>. Takie podejście jest bardziej restrykcyjne od zastosowanego niniejszym postępowaniu, gdyż Oferent wraz z ofertą składa próbkę systemu spełniającą określone w SIWZ wymagania, a więc musi dysponować rozwiązaniem spełniającym określone wymagania już przed terminem składania ofert. Dotyczy to jednak zwykle sytuacji, w której docelowy system jest w miarę standardowy i potencjalni wykonawcy dysponują rozwiązaniem zbliżonym do wymaganego przez Zamawiającego. W niniejszym postępowaniu obniża się próg wejścia dla Wykonawców, a podane terminy i wymagania funkcjonalne są możliwe do zrealizowania dla profesjonalistów. Zamawiający oczekuje od Wykonawcy, że będzie dysponować odpowiednimi komponentami oprogramowania, które pozwolą mu na s</w:t>
      </w:r>
      <w:r w:rsidR="0075504A">
        <w:t>prawne i prawidłowe</w:t>
      </w:r>
      <w:r>
        <w:t xml:space="preserve"> wytworzenie docelowego rozwiązania. Ponieważ warunki dopuszczenia do postępowania wymagają </w:t>
      </w:r>
      <w:r>
        <w:lastRenderedPageBreak/>
        <w:t xml:space="preserve">doświadczenia w podobnych projektach, czego Odwołujący nie kwestionuje, również oczekiwanie posiadania odpowiednich komponentów oprogramowania nie jest żądaniem nadmiernie wygórowanym. </w:t>
      </w:r>
    </w:p>
    <w:p w14:paraId="6ADB1B58" w14:textId="529083C2" w:rsidR="001159F6" w:rsidRDefault="001159F6" w:rsidP="001159F6">
      <w:pPr>
        <w:jc w:val="both"/>
      </w:pPr>
      <w:r>
        <w:t>System SIPWW jest tworzony zgodnie z potrzebami Zamawiającego. Jednakże duża część funkcjonalności, zwłaszcza w zakresie przetwarzania danych przestrzen</w:t>
      </w:r>
      <w:r w:rsidR="0075504A">
        <w:t>nych, jest oparta na </w:t>
      </w:r>
      <w:r>
        <w:t>istniejących bibliotekach narzędziowych i specjalistycznych</w:t>
      </w:r>
      <w:r w:rsidR="0075504A">
        <w:t xml:space="preserve"> modułach. Mogą one pochodzić z </w:t>
      </w:r>
      <w:r>
        <w:t>powszechnie dostępnych bibliotek oprogramowania lub być autorskimi rozwiązaniami Wykonawcy, zastosowanymi w innych, wcześniejszych zamówieniach. Poza narzędziami programistycznymi, Wykonawca musi jeszcze dysponować kompetentnym zesp</w:t>
      </w:r>
      <w:r w:rsidR="0075504A">
        <w:t>ołem analityków, projektantów i </w:t>
      </w:r>
      <w:r>
        <w:t>programistów, którzy sprawnie będą w stanie uruchomić system bazując na znajomości narzędzi oraz zastosowań w obszarze przetwarzania informacji przestrzennej. Proponowany mechanizm pozwala na weryfikację, czy Wykonawca faktycznie dysponu</w:t>
      </w:r>
      <w:r w:rsidR="0075504A">
        <w:t>je odpowiednim potencjałem. Nie </w:t>
      </w:r>
      <w:r>
        <w:t xml:space="preserve">wymaga weryfikacji na etapie postępowania przetargowego, ale daje Zamawiającemu możliwość wczesnej weryfikacji w praktyce. Nie zastąpią tego żadne certyfikaty i licencje. </w:t>
      </w:r>
    </w:p>
    <w:p w14:paraId="72B4F5E1" w14:textId="28F1F1FF" w:rsidR="001159F6" w:rsidRDefault="001159F6" w:rsidP="001159F6">
      <w:pPr>
        <w:jc w:val="both"/>
      </w:pPr>
      <w:r>
        <w:t>Z tych powodów Zamawiający zdecydował się na mechanizm, pozwala</w:t>
      </w:r>
      <w:r w:rsidR="0075504A">
        <w:t>jący ocenić stopień gotowości i </w:t>
      </w:r>
      <w:r>
        <w:t>dojrzałości komponentów, którymi dysponuje Wykonawca.</w:t>
      </w:r>
      <w:r w:rsidR="0075504A">
        <w:t xml:space="preserve"> Takim mechanizmem jest ocena </w:t>
      </w:r>
      <w:r>
        <w:t xml:space="preserve">funkcjonalności prototypu, który Wykonawca ma uruchomić w ograniczonym czasie. Na etapie składania oferty </w:t>
      </w:r>
      <w:r w:rsidR="00BD4DDD">
        <w:t xml:space="preserve">oprócz 124 wymagań obowiązkowych </w:t>
      </w:r>
      <w:r>
        <w:t>Wykonawca de</w:t>
      </w:r>
      <w:r w:rsidR="00BD4DDD">
        <w:t>klaruje, jakie funkcje będzie w </w:t>
      </w:r>
      <w:r>
        <w:t xml:space="preserve">stanie zaprezentować, a Zamawiający ocenia deklarowaną funkcjonalność prototypu. Takie podejście </w:t>
      </w:r>
      <w:r w:rsidR="0075504A">
        <w:t>było również stosowane w </w:t>
      </w:r>
      <w:r>
        <w:t>innych postępowaniach na dostawę systemów informatycznych</w:t>
      </w:r>
      <w:r>
        <w:rPr>
          <w:rStyle w:val="Odwoanieprzypisudolnego"/>
        </w:rPr>
        <w:footnoteReference w:id="2"/>
      </w:r>
      <w:r>
        <w:t>.</w:t>
      </w:r>
    </w:p>
    <w:p w14:paraId="23499CC5" w14:textId="63481D6E" w:rsidR="001159F6" w:rsidRDefault="001159F6" w:rsidP="001159F6">
      <w:pPr>
        <w:jc w:val="both"/>
      </w:pPr>
      <w:r>
        <w:t xml:space="preserve">Wymagany w prototypie zakres funkcjonalności obejmuje kluczowe </w:t>
      </w:r>
      <w:r w:rsidR="0075504A">
        <w:t>obszary, których wytworzenie na </w:t>
      </w:r>
      <w:r>
        <w:t xml:space="preserve">podstawie posiadanych komponentów nie powinno być trudne dla Wykonawców doświadczonych w realizacji podobnych zamówień. Odnośnie żądań Odwołującego dotyczących zmian w Załączniku nr 1B do Formularza Ofertowego dot. Części 1 w zakresie funkcjonalności prototypu oraz rozdz. XIII, pkt 3 lit. A lp. 2 SIWZ w zakresie opisu i wagi funkcjonalności prototypu, obejmujących zmniejszenie liczby funkcjonalności prototypu (zarówno funkcjonalności „W" jak i funkcjonalności punktowanych) </w:t>
      </w:r>
      <w:r>
        <w:lastRenderedPageBreak/>
        <w:t xml:space="preserve">do 10% funkcjonalności Systemu oraz dostosowanie wagi i opisu funkcjonalności w kryterium oceny ofert -funkcjonalność prototypu (rozdz. XIII, pkt 3 lit. A lp. 2 SIWZ) należy stwierdzić, że podane przez Odwołującego dane nie są zgodne ze stanem faktycznym. Odwołujący mylnie podaje, że „Zamawiający wymaga dostarczenia w ciągu 60 dni prototypu Systemu, który będzie posiadał aż 287 funkcjonalności, podczas gdy dla całego Systemu Zamawiający postawił 547 wymagań funkcjonalnych” (str. 5 odwołania, sekcja: </w:t>
      </w:r>
      <w:r>
        <w:rPr>
          <w:i/>
          <w:iCs/>
        </w:rPr>
        <w:t>Uzasadnienie</w:t>
      </w:r>
      <w:r>
        <w:t xml:space="preserve">, pkt 2.1). Istotnie, w Załączniku 1b) do formularza ofertowego Wykonawcy mają zadeklarować, czy przedstawiany prototyp będzie spełniał 287 różnych wymagań, jednakże Zamawiający wymaga, by bezwzględnie spełnione były </w:t>
      </w:r>
      <w:r>
        <w:rPr>
          <w:u w:val="single"/>
        </w:rPr>
        <w:t>jedynie 124 wymagania</w:t>
      </w:r>
      <w:r>
        <w:t xml:space="preserve">. Spełnienie przez prototyp pozostałych 163 wymagań jest opcjonalne i punktowane zgodnie z procedurą opisaną w SIWZ. Zamawiający nie wymaga więc bezwzględnie spełnienia przez prototyp 287 wymagań, a jedynie 124. </w:t>
      </w:r>
    </w:p>
    <w:p w14:paraId="5A0FF7EC" w14:textId="77777777" w:rsidR="001159F6" w:rsidRDefault="001159F6" w:rsidP="001159F6">
      <w:pPr>
        <w:jc w:val="both"/>
      </w:pPr>
      <w:r>
        <w:t>Ponadto wszystkich wymagań opisanych w SOPZ jest 954, w tym 682 wymagania, które można uznać za wymagania funkcjonalne. Odwołujący nie przedstawił w odwołaniu metody obliczenia liczby wymagań funkcjonalnych, jednakże Zamawiający stwierdza, że liczba wszystkich wymagań funkcjonalnych wynosi 682, a nie 547 jak wskazuje Odwołujący. Wobec tego prototyp systemu przedstawiany do badania musi spełniać tylko 18% wszystkich wymagań funkcjonalnych, a nie „ponad 50%”, jak sugeruje Odwołujący. Wyliczenia przedstawiono w poniższej tabeli:</w:t>
      </w:r>
    </w:p>
    <w:tbl>
      <w:tblPr>
        <w:tblW w:w="7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1280"/>
        <w:gridCol w:w="1329"/>
      </w:tblGrid>
      <w:tr w:rsidR="001159F6" w14:paraId="41A9BAAA" w14:textId="77777777" w:rsidTr="001159F6">
        <w:trPr>
          <w:trHeight w:val="30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70814" w14:textId="77777777" w:rsidR="001159F6" w:rsidRDefault="001159F6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DBDF4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  <w:t>Odwołujący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D3FEA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lang w:val="en-US" w:eastAsia="pl-PL"/>
              </w:rPr>
              <w:t>Zamawiający</w:t>
            </w:r>
          </w:p>
        </w:tc>
      </w:tr>
      <w:tr w:rsidR="001159F6" w14:paraId="6C904D65" w14:textId="77777777" w:rsidTr="001159F6">
        <w:trPr>
          <w:trHeight w:val="30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F09D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Liczba wszystkich wymagań funkcjonalnych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7D3E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pl-PL"/>
              </w:rPr>
              <w:t>287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A94EE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val="en-US" w:eastAsia="pl-PL"/>
              </w:rPr>
              <w:t>124</w:t>
            </w:r>
          </w:p>
        </w:tc>
      </w:tr>
      <w:tr w:rsidR="001159F6" w14:paraId="569F394E" w14:textId="77777777" w:rsidTr="001159F6">
        <w:trPr>
          <w:trHeight w:val="30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FAD9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Liczba wymagań funkcjonalnych dot. prototypu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4B0B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pl-PL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CDAB5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val="en-US" w:eastAsia="pl-PL"/>
              </w:rPr>
              <w:t>682</w:t>
            </w:r>
          </w:p>
        </w:tc>
      </w:tr>
      <w:tr w:rsidR="001159F6" w14:paraId="1ECB0252" w14:textId="77777777" w:rsidTr="001159F6">
        <w:trPr>
          <w:trHeight w:val="30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403A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% badanych wymagań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B136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pl-PL"/>
              </w:rPr>
              <w:t>52%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D2AAD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val="en-US" w:eastAsia="pl-PL"/>
              </w:rPr>
              <w:t>18%</w:t>
            </w:r>
          </w:p>
        </w:tc>
      </w:tr>
    </w:tbl>
    <w:p w14:paraId="6D24C499" w14:textId="0623EFB4" w:rsidR="001159F6" w:rsidRDefault="001159F6" w:rsidP="001159F6">
      <w:pPr>
        <w:spacing w:before="240"/>
        <w:jc w:val="both"/>
      </w:pPr>
      <w:r>
        <w:t xml:space="preserve">Zamawiający nie ogranicza możliwości składania ofert przez </w:t>
      </w:r>
      <w:r w:rsidR="00DD0E0E">
        <w:t>jakiegokolwiek Wykonawcę, ale ze </w:t>
      </w:r>
      <w:r>
        <w:t xml:space="preserve">względu na zmniejszenie ryzyka niepowodzenia projektu przyznaje dodatkowe punkty takiemu Wykonawcy, który </w:t>
      </w:r>
      <w:r w:rsidR="0075504A">
        <w:t>będzie dysponował odpowiednimi komponentami oraz</w:t>
      </w:r>
      <w:r>
        <w:t xml:space="preserve"> na tyle sprawnym zespołem programistycznym, że w ciągu wyznaczonych przez Zamawiającego 60 dni od podpisania umowy będzie w stanie przygotować prototyp systemu.</w:t>
      </w:r>
    </w:p>
    <w:p w14:paraId="3697265B" w14:textId="77777777" w:rsidR="001159F6" w:rsidRDefault="001159F6" w:rsidP="001159F6">
      <w:pPr>
        <w:spacing w:before="240"/>
        <w:jc w:val="both"/>
      </w:pPr>
      <w:r>
        <w:t xml:space="preserve">Odwołujący stwierdza także, że „cały prototyp Systemu ma </w:t>
      </w:r>
      <w:r>
        <w:rPr>
          <w:i/>
          <w:iCs/>
        </w:rPr>
        <w:t>de facto</w:t>
      </w:r>
      <w:r>
        <w:t xml:space="preserve"> stanowić ponad 50% docelowego Systemu, na który wykonawca będzie miał zaledwie 60 dni, podczas gdy na dostarczenie docelowego Systemu wykonawca będzie miał 11 miesięcy” (str. 6 odwołania, sekcja: </w:t>
      </w:r>
      <w:r>
        <w:rPr>
          <w:i/>
          <w:iCs/>
        </w:rPr>
        <w:t>Uzasadnienie</w:t>
      </w:r>
      <w:r>
        <w:t xml:space="preserve">, pkt 2.5). Czas realizacji </w:t>
      </w:r>
      <w:r>
        <w:rPr>
          <w:u w:val="single"/>
        </w:rPr>
        <w:t>całego zamówienia</w:t>
      </w:r>
      <w:r>
        <w:t xml:space="preserve"> wynosi wprawdzie istotnie 662 dni, czyli 22 miesiące, jednakże </w:t>
      </w:r>
      <w:r>
        <w:rPr>
          <w:u w:val="single"/>
        </w:rPr>
        <w:t>implementacja Systemu docelowego</w:t>
      </w:r>
      <w:r>
        <w:t xml:space="preserve"> może się rozpocząć dopiero po akceptacji wyników analizy przedwdrożeniowej</w:t>
      </w:r>
      <w:r>
        <w:rPr>
          <w:rStyle w:val="Odwoanieprzypisudolnego"/>
        </w:rPr>
        <w:footnoteReference w:id="3"/>
      </w:r>
      <w:r>
        <w:t xml:space="preserve">, na co przeznaczono 6 miesięcy. Ponadto System docelowy musi być gotowy i przekazany do testów zewnętrznych w ciągu </w:t>
      </w:r>
      <w:r>
        <w:rPr>
          <w:u w:val="single"/>
        </w:rPr>
        <w:t>16 miesięcy od podpisania umowy</w:t>
      </w:r>
      <w:r>
        <w:t xml:space="preserve">. Dlatego na uruchomienie Systemu docelowego Wykonawcą będzie miał </w:t>
      </w:r>
      <w:r>
        <w:rPr>
          <w:u w:val="single"/>
        </w:rPr>
        <w:t>10 miesięcy</w:t>
      </w:r>
      <w:r>
        <w:t xml:space="preserve">, a nie 11 miesięcy, jak wskazuje Odwołujący. Pokazuje to wyraźnie diagram na str. 13 SOPZ (rozdział </w:t>
      </w:r>
      <w:r>
        <w:rPr>
          <w:i/>
          <w:iCs/>
        </w:rPr>
        <w:t>1.3. Termin realizacji zamówienia</w:t>
      </w:r>
      <w:r>
        <w:t xml:space="preserve">, sekcja: </w:t>
      </w:r>
      <w:r>
        <w:rPr>
          <w:i/>
          <w:iCs/>
        </w:rPr>
        <w:t>Ogólny harmonogram prac</w:t>
      </w:r>
      <w:r>
        <w:t>). Wyliczenia przedstawiono w poniższej tabeli:</w:t>
      </w: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80"/>
        <w:gridCol w:w="1329"/>
      </w:tblGrid>
      <w:tr w:rsidR="001159F6" w14:paraId="0A42144F" w14:textId="77777777" w:rsidTr="001159F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45CD" w14:textId="77777777" w:rsidR="001159F6" w:rsidRDefault="001159F6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B406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  <w:t>Odwołujący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08E6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lang w:val="en-US" w:eastAsia="pl-PL"/>
              </w:rPr>
              <w:t>Zamawiający</w:t>
            </w:r>
          </w:p>
        </w:tc>
      </w:tr>
      <w:tr w:rsidR="001159F6" w14:paraId="2B9C5D81" w14:textId="77777777" w:rsidTr="001159F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1C962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Czas na realizację prototypu (w miesiącach)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76E4C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pl-PL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2E33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val="en-US" w:eastAsia="pl-PL"/>
              </w:rPr>
              <w:t>2</w:t>
            </w:r>
          </w:p>
        </w:tc>
      </w:tr>
      <w:tr w:rsidR="001159F6" w14:paraId="559ABF05" w14:textId="77777777" w:rsidTr="001159F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E4D2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Czas na realizację systemu (w miesiącach)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26A7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pl-PL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5B0C1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val="en-US" w:eastAsia="pl-PL"/>
              </w:rPr>
              <w:t>10</w:t>
            </w:r>
          </w:p>
        </w:tc>
      </w:tr>
      <w:tr w:rsidR="001159F6" w14:paraId="7D5DD28C" w14:textId="77777777" w:rsidTr="001159F6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EF3AA" w14:textId="77777777" w:rsidR="001159F6" w:rsidRDefault="001159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% czasu na prototyp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9A38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val="en-US" w:eastAsia="pl-PL"/>
              </w:rPr>
              <w:t>18%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751E6" w14:textId="77777777" w:rsidR="001159F6" w:rsidRDefault="0011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val="en-US" w:eastAsia="pl-PL"/>
              </w:rPr>
              <w:t>20%</w:t>
            </w:r>
          </w:p>
        </w:tc>
      </w:tr>
    </w:tbl>
    <w:p w14:paraId="13633794" w14:textId="1BFEE9E3" w:rsidR="001159F6" w:rsidRDefault="001159F6" w:rsidP="001159F6">
      <w:pPr>
        <w:spacing w:before="240"/>
        <w:jc w:val="both"/>
      </w:pPr>
      <w:r>
        <w:lastRenderedPageBreak/>
        <w:t>Jak wynika z powyższych wyliczeń</w:t>
      </w:r>
      <w:r w:rsidR="00DD0E0E">
        <w:t xml:space="preserve"> w obydwóch tabelach</w:t>
      </w:r>
      <w:r>
        <w:t>, Wykonawca ma przedstawić w ramach prototypu 18% funkcjonalności Systemu w terminie stanowią</w:t>
      </w:r>
      <w:r w:rsidR="00DD0E0E">
        <w:t>cym 20% czasu przewidzianego na </w:t>
      </w:r>
      <w:r>
        <w:t>dostarczenie Systemu docelowego, co wydaje się w pełni adekwatne i proporcjonalne do czasu, którym będzie dysponować Wykonawca. Z tego także powodu nie jest zasadne żądanie Odwołującego, dotyczące „wydłużenia terminu określonego w rodź. XIII,</w:t>
      </w:r>
      <w:r w:rsidR="00DD0E0E">
        <w:t xml:space="preserve"> pkt 3 lit. A lp. 2 SIWZ oraz w </w:t>
      </w:r>
      <w:r>
        <w:t>Harmonogramie znajdującym się w Załączniku nr 4a do SIWZ z 60 dni do 6-ciu (sześciu) miesięcy od podpisania Umowy”, gdyż czas przeznaczony na wykonanie prototypu jest wystarczający.</w:t>
      </w:r>
    </w:p>
    <w:p w14:paraId="6057DFD6" w14:textId="77777777" w:rsidR="001159F6" w:rsidRDefault="001159F6" w:rsidP="001159F6">
      <w:pPr>
        <w:jc w:val="both"/>
      </w:pPr>
      <w:r>
        <w:t xml:space="preserve">Z tego powodu stwierdzenie, że „Odwołujący i inni wykonawcy są w stanie wykonać docelowy System w terminach wskazanych w umowie i tym samym Zamawiający mógłby osiągnąć zamierzony cel, jakim jest otrzymanie w założonym terminie gotowego systemu” (str. 6 odwołania, sekcja: </w:t>
      </w:r>
      <w:r>
        <w:rPr>
          <w:i/>
          <w:iCs/>
        </w:rPr>
        <w:t>Uzasadnienie</w:t>
      </w:r>
      <w:r>
        <w:t>, pkt 2.4) jest prawdziwe, nawet wtedy, gdy Odwołujący nie jest w stanie zaprezentować wymaganego prototypu w określonym w SIWZ czasie.</w:t>
      </w:r>
    </w:p>
    <w:p w14:paraId="263301FD" w14:textId="3645952B" w:rsidR="001159F6" w:rsidRDefault="001159F6" w:rsidP="001159F6">
      <w:pPr>
        <w:jc w:val="both"/>
      </w:pPr>
      <w:r>
        <w:t>Ponadto wytworzony prototyp ma wspomagać analizę przedwdr</w:t>
      </w:r>
      <w:r w:rsidR="00DD0E0E">
        <w:t>ożeniową, gdyż biorący udział w </w:t>
      </w:r>
      <w:r>
        <w:t>analizie przedwdrożeniowej przyszli użytkownicy systemu będą widzieli, jak będzie wyglądał system docelowy i będą sobie mogli go lepiej wyobrazić, a przyjęcie wyników analizy warunkuje dopuszczenie Wykonawcy do dalszych prac nad Systemem docelowym. Termin odbioru Analizy przedwdrożeniowej jest zaś określony na 6 miesięcy od podpisania umowy, zatem przesunięcie terminu wykonania prototypu zagroziłoby opóźnieniami w realizacji całości harmonogramu przedsięwzięcia.</w:t>
      </w:r>
    </w:p>
    <w:p w14:paraId="0DE01A4F" w14:textId="77777777" w:rsidR="001159F6" w:rsidRDefault="001159F6" w:rsidP="001159F6">
      <w:pPr>
        <w:jc w:val="both"/>
      </w:pPr>
      <w:r>
        <w:t xml:space="preserve">Jednocześnie Zamawiający zwraca uwagę, że wymagania dotyczące prototypu opisują poszczególne funkcjonalności, a nie zintegrowany, gotowy System, dlatego w ramach prototypu mogą zostać zaprezentowane niezintegrowane komponenty, które łącznie udostępniają wszystkie wymagane funkcje. Nie jest więc prawdą stwierdzenie Odwołującego, że „wyłącznie wykonawca, który posiada gotowy produkt jest w stanie dostarczyć w terminie 60 dni prototyp Systemu posiadający wskazane przez zamawiającego funkcjonalności” (str. 6 odwołania, sekcja: </w:t>
      </w:r>
      <w:r>
        <w:rPr>
          <w:i/>
          <w:iCs/>
        </w:rPr>
        <w:t>Uzasadnienie</w:t>
      </w:r>
      <w:r>
        <w:t xml:space="preserve">, pkt 2.4). Prawdą jest zaś, że Wykonawca musi dysponować niezbędnymi kluczowymi komponentami, gdyż taki właśnie jest zamiar Zamawiającego. </w:t>
      </w:r>
    </w:p>
    <w:p w14:paraId="695E028B" w14:textId="77777777" w:rsidR="001159F6" w:rsidRDefault="001159F6" w:rsidP="001159F6">
      <w:pPr>
        <w:jc w:val="both"/>
      </w:pPr>
      <w:r>
        <w:t>Z wyżej wymienionych powodów odwołanie w tym punkcie należy oddalić.</w:t>
      </w:r>
    </w:p>
    <w:p w14:paraId="56947107" w14:textId="77777777" w:rsidR="001159F6" w:rsidRDefault="001159F6" w:rsidP="001159F6">
      <w:pPr>
        <w:spacing w:before="240"/>
        <w:rPr>
          <w:b/>
          <w:bCs/>
        </w:rPr>
      </w:pPr>
      <w:r>
        <w:rPr>
          <w:b/>
          <w:bCs/>
        </w:rPr>
        <w:t>Zarzut dotyczący braku dopuszczenia rozwiązania równoważnego do układu WKID (102100).</w:t>
      </w:r>
    </w:p>
    <w:p w14:paraId="17C0EDEA" w14:textId="7F2BDBA9" w:rsidR="001159F6" w:rsidRDefault="001159F6" w:rsidP="001159F6">
      <w:pPr>
        <w:jc w:val="both"/>
      </w:pPr>
      <w:r>
        <w:t>Wprawdzie układ WKID (102100) jest dostępny w wielu rozwiązaniac</w:t>
      </w:r>
      <w:r w:rsidR="00DD0E0E">
        <w:t>h, jednak zmiana tego układu na </w:t>
      </w:r>
      <w:r>
        <w:t>równoważny układ EPSG 3857 pozwala Zamawiającemu na realizację przyjętych założeń funkcjonalnych, dlatego w tym zakresie Zamawiający uwzględnia odwołanie, zmieniając wymaganie WG.1.2.7.1, które przyjmuje brzmienie:</w:t>
      </w:r>
    </w:p>
    <w:p w14:paraId="5F73F1B6" w14:textId="77777777" w:rsidR="001159F6" w:rsidRDefault="001159F6" w:rsidP="001159F6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Przeglądarka danych przestrzennych będzie umożliwiać projekcję warstw w różnych układach współrzędnych; w tym stosowanych w Polsce układach współrzędnych: UTM, układ 1965, układ 1992, układ 2000, WGS 84 (EPSG 4326) oraz </w:t>
      </w:r>
      <w:r>
        <w:rPr>
          <w:i/>
          <w:iCs/>
        </w:rPr>
        <w:t>EPSG 3857</w:t>
      </w:r>
      <w:r>
        <w:rPr>
          <w:i/>
          <w:iCs/>
          <w:szCs w:val="24"/>
        </w:rPr>
        <w:t>. Lista wyboru układu zawierać będzie nazwy układów oraz oznaczenia EPSG. W przypadku zewnętrznych serwisów projekcja będzie ograniczona do serwowanych układów współrzędnych.</w:t>
      </w:r>
    </w:p>
    <w:p w14:paraId="7E0CCCCC" w14:textId="77777777" w:rsidR="001159F6" w:rsidRDefault="001159F6" w:rsidP="001159F6">
      <w:pPr>
        <w:jc w:val="both"/>
      </w:pPr>
      <w:r>
        <w:t>W odpowiedzi na odwołanie zarzut uwzględniamy w całości, dlatego ustaje przyczyna wniesienia odwołania w tym punkcie.</w:t>
      </w:r>
    </w:p>
    <w:p w14:paraId="4C19ADB6" w14:textId="77777777" w:rsidR="001159F6" w:rsidRDefault="001159F6" w:rsidP="001159F6">
      <w:pPr>
        <w:jc w:val="both"/>
        <w:rPr>
          <w:b/>
          <w:bCs/>
        </w:rPr>
      </w:pPr>
      <w:r>
        <w:rPr>
          <w:b/>
          <w:bCs/>
        </w:rPr>
        <w:t>Zarzut braku dopuszczenia rozwiązania równoważnego do protokołu dostępu do danych przestrzennych GeoREST.</w:t>
      </w:r>
    </w:p>
    <w:p w14:paraId="102A05D9" w14:textId="77777777" w:rsidR="001159F6" w:rsidRDefault="001159F6" w:rsidP="001159F6">
      <w:pPr>
        <w:jc w:val="both"/>
      </w:pPr>
      <w:r>
        <w:lastRenderedPageBreak/>
        <w:t>Wprawdzie protokół GeoReST jest powszechnie stosowany w wielu rozwiązaniach, jednak dopuszczenie rozwiązań rekomendowanych przez OPEN GIS CONSORTIUM (OGC) również pozwala Zamawiającemu na realizację przyjętych założeń funkcjonalnych, dlatego Zmawiający w tym zakresie uwzględnia odwołanie.</w:t>
      </w:r>
    </w:p>
    <w:p w14:paraId="372F0A6F" w14:textId="77777777" w:rsidR="001159F6" w:rsidRDefault="001159F6" w:rsidP="001159F6">
      <w:pPr>
        <w:jc w:val="both"/>
      </w:pPr>
      <w:r>
        <w:t>Zamawiający zmienia brzmienie następujących wymagań SOPZ na podane poniżej:</w:t>
      </w:r>
    </w:p>
    <w:p w14:paraId="22B00B6F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WG.1.2.11.6 Obsługa serwisów OGC serwera usług danych przestrzennych</w:t>
      </w:r>
    </w:p>
    <w:p w14:paraId="56B36343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Przeglądarka danych przestrzennych będzie umożliwiać obsługę serwisów OGC serwera usług danych przestrzennych, w szczególności serwisów geometrycznych, transakcyjnych i kafelkowanych.</w:t>
      </w:r>
    </w:p>
    <w:p w14:paraId="3AF3D52F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WG.2.2.5.2 Obsługa OGC</w:t>
      </w:r>
    </w:p>
    <w:p w14:paraId="37464FBB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Rozbudowana przeglądarka danych przestrzennych będzie umożliwiała obsługę serwisów transakcyjnych OGC.</w:t>
      </w:r>
    </w:p>
    <w:p w14:paraId="1F6D82BE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WG.2.3.17 Określanie zasięgu przestrzennego metadanych</w:t>
      </w:r>
    </w:p>
    <w:p w14:paraId="473D6347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Edytor metadanych będzie umożliwiał określanie zasięgu przestrzennego metadanych poprzez dedykowany Interfejs mapowy (usługa OGC).</w:t>
      </w:r>
    </w:p>
    <w:p w14:paraId="191673BC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WG.4.1.2 Dostęp i zawartość interfejsu klienta usług</w:t>
      </w:r>
    </w:p>
    <w:p w14:paraId="0D62BE14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Oprogramowanie zarządzające systemem będzie umożliwiało zarządzanie dostępem i zawartością interfejsu klienta usług w zakresie:</w:t>
      </w:r>
    </w:p>
    <w:p w14:paraId="2022C362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definiowania zasięgu startowego okna mapy,</w:t>
      </w:r>
    </w:p>
    <w:p w14:paraId="70AE5054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tworzenia i definiowania przycisków – przypisywanie narzędzi i okien,</w:t>
      </w:r>
    </w:p>
    <w:p w14:paraId="6A4C9C87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dodawania i modyfikowania okien i przypisywania im narzędzi,</w:t>
      </w:r>
    </w:p>
    <w:p w14:paraId="181DC42E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dodawania, edytowania i usuwania układów odniesienia,</w:t>
      </w:r>
    </w:p>
    <w:p w14:paraId="48FBEA15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konfigurowania kompozycji mapowych,</w:t>
      </w:r>
    </w:p>
    <w:p w14:paraId="03500B83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definiowania listy usług OGC,</w:t>
      </w:r>
    </w:p>
    <w:p w14:paraId="30D658F0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definiowania tekstu powitalnego,</w:t>
      </w:r>
    </w:p>
    <w:p w14:paraId="2A1EB972" w14:textId="77777777" w:rsidR="001159F6" w:rsidRDefault="001159F6" w:rsidP="001159F6">
      <w:pPr>
        <w:pStyle w:val="Akapitzlist"/>
        <w:numPr>
          <w:ilvl w:val="0"/>
          <w:numId w:val="11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zarządzania źródłami wyszukiwania.</w:t>
      </w:r>
    </w:p>
    <w:p w14:paraId="77BD151D" w14:textId="77777777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WG.4.2.4 Zarządzanie dostępem do sieciowych usług danych przestrzennych</w:t>
      </w:r>
    </w:p>
    <w:p w14:paraId="2BDFFD69" w14:textId="440D2B4F" w:rsidR="001159F6" w:rsidRDefault="001159F6" w:rsidP="001159F6">
      <w:pPr>
        <w:jc w:val="both"/>
        <w:rPr>
          <w:i/>
          <w:iCs/>
        </w:rPr>
      </w:pPr>
      <w:r>
        <w:rPr>
          <w:i/>
          <w:iCs/>
        </w:rPr>
        <w:t>Oprogramowanie zarządzające systemem będzie umożliwiało zarządzanie dostępem do sieciowych usług danych przestrzennych: przeglądania (WMS, WMTS), pobierania (WFS, WFS-T,</w:t>
      </w:r>
      <w:r w:rsidR="00DD0E0E">
        <w:rPr>
          <w:i/>
          <w:iCs/>
        </w:rPr>
        <w:t xml:space="preserve"> WCS) i </w:t>
      </w:r>
      <w:r>
        <w:rPr>
          <w:i/>
          <w:iCs/>
        </w:rPr>
        <w:t>wyszukiwania CSW (szyna usług danych przestrzennych), w zakresie:</w:t>
      </w:r>
    </w:p>
    <w:p w14:paraId="4B0972FF" w14:textId="77777777" w:rsidR="001159F6" w:rsidRDefault="001159F6" w:rsidP="001159F6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 xml:space="preserve">Rozliczalności operacji transakcyjnych – właściwość zapewniająca wiedzę, kto wprowadził zmiany, jakie dane zostały zmodyfikowane i kiedy wystąpiła operacja. </w:t>
      </w:r>
    </w:p>
    <w:p w14:paraId="448D6FE9" w14:textId="77777777" w:rsidR="001159F6" w:rsidRDefault="001159F6" w:rsidP="001159F6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Integralności (spójności) danych - integralność – właściwość polegającą na tym, że zasób systemu nie został zmodyfikowany w sposób nieuprawniony;</w:t>
      </w:r>
    </w:p>
    <w:p w14:paraId="010B1E3B" w14:textId="77777777" w:rsidR="001159F6" w:rsidRDefault="001159F6" w:rsidP="001159F6">
      <w:pPr>
        <w:pStyle w:val="Akapitzlist"/>
        <w:numPr>
          <w:ilvl w:val="0"/>
          <w:numId w:val="12"/>
        </w:numPr>
        <w:spacing w:after="160" w:line="256" w:lineRule="auto"/>
        <w:contextualSpacing/>
        <w:jc w:val="both"/>
        <w:rPr>
          <w:i/>
          <w:iCs/>
        </w:rPr>
      </w:pPr>
      <w:r>
        <w:rPr>
          <w:i/>
          <w:iCs/>
        </w:rPr>
        <w:t>Niezaprzeczalności zapewniającej potwierdzenie, że zmiany w systemie były dokonywane przez osoby do tego uprawnione.</w:t>
      </w:r>
    </w:p>
    <w:p w14:paraId="22937615" w14:textId="77777777" w:rsidR="001159F6" w:rsidRDefault="001159F6" w:rsidP="001159F6">
      <w:pPr>
        <w:jc w:val="both"/>
      </w:pPr>
      <w:r>
        <w:t>Definicje (pkt 1.4. SOPZ)</w:t>
      </w:r>
    </w:p>
    <w:p w14:paraId="0E25C366" w14:textId="77777777" w:rsidR="001159F6" w:rsidRDefault="001159F6" w:rsidP="001159F6">
      <w:pPr>
        <w:jc w:val="both"/>
      </w:pPr>
      <w:r>
        <w:t>Zastąpienie wiersza: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7140"/>
      </w:tblGrid>
      <w:tr w:rsidR="001159F6" w14:paraId="7F53C6A2" w14:textId="77777777" w:rsidTr="001159F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CEC5" w14:textId="77777777" w:rsidR="001159F6" w:rsidRDefault="001159F6">
            <w:pPr>
              <w:spacing w:after="0"/>
              <w:contextualSpacing/>
              <w:jc w:val="both"/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GeoREST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524B" w14:textId="77777777" w:rsidR="001159F6" w:rsidRDefault="001159F6">
            <w:pPr>
              <w:spacing w:after="0"/>
              <w:contextualSpacing/>
              <w:jc w:val="both"/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Protokół dostępu do usług danych przestrzennych.</w:t>
            </w:r>
          </w:p>
        </w:tc>
      </w:tr>
    </w:tbl>
    <w:p w14:paraId="4BF82851" w14:textId="77777777" w:rsidR="001159F6" w:rsidRDefault="001159F6" w:rsidP="001159F6">
      <w:pPr>
        <w:spacing w:before="240"/>
        <w:jc w:val="both"/>
      </w:pPr>
      <w:r>
        <w:lastRenderedPageBreak/>
        <w:t>Przez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7140"/>
      </w:tblGrid>
      <w:tr w:rsidR="001159F6" w14:paraId="5B9C5C4B" w14:textId="77777777" w:rsidTr="001159F6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1D2" w14:textId="77777777" w:rsidR="001159F6" w:rsidRDefault="001159F6">
            <w:pPr>
              <w:spacing w:after="0"/>
              <w:contextualSpacing/>
              <w:jc w:val="both"/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OGC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1953" w14:textId="77777777" w:rsidR="001159F6" w:rsidRDefault="001159F6">
            <w:pPr>
              <w:spacing w:after="0"/>
              <w:contextualSpacing/>
              <w:jc w:val="both"/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Usługi danych przestrzennych określone przez standardy OPEN GIS CONSORTIUM: WFS, WMS, WCS, WMTS, CSW.</w:t>
            </w:r>
          </w:p>
        </w:tc>
      </w:tr>
    </w:tbl>
    <w:p w14:paraId="188D8C9B" w14:textId="77777777" w:rsidR="001159F6" w:rsidRDefault="001159F6" w:rsidP="001159F6">
      <w:pPr>
        <w:jc w:val="both"/>
      </w:pPr>
    </w:p>
    <w:p w14:paraId="0957C43E" w14:textId="6FE92A61" w:rsidR="001159F6" w:rsidRDefault="001159F6" w:rsidP="001159F6">
      <w:pPr>
        <w:jc w:val="both"/>
      </w:pPr>
      <w:r>
        <w:t>Ponadto Zamawiający zmienia zapisy w Załączniku 1b do formular</w:t>
      </w:r>
      <w:r w:rsidR="00DD0E0E">
        <w:t>za ofertowego dokonując zmian w </w:t>
      </w:r>
      <w:r>
        <w:t xml:space="preserve">formularzu w pozycjach WG.1.2.11.6 i </w:t>
      </w:r>
      <w:r>
        <w:rPr>
          <w:rFonts w:cs="Calibri"/>
          <w:color w:val="000000"/>
          <w:lang w:eastAsia="pl-PL"/>
        </w:rPr>
        <w:t>WG.2.2.5.2, które odpowiednio przyjmują brzmienie</w:t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007"/>
        <w:gridCol w:w="1041"/>
        <w:gridCol w:w="1201"/>
        <w:gridCol w:w="1316"/>
      </w:tblGrid>
      <w:tr w:rsidR="001159F6" w14:paraId="56C68172" w14:textId="77777777" w:rsidTr="001159F6">
        <w:trPr>
          <w:trHeight w:val="57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03F44" w14:textId="77777777" w:rsidR="001159F6" w:rsidRDefault="001159F6">
            <w:pPr>
              <w:spacing w:after="0" w:line="240" w:lineRule="auto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WG.1.2.11.6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C4C9" w14:textId="77777777" w:rsidR="001159F6" w:rsidRDefault="001159F6">
            <w:pPr>
              <w:spacing w:after="0" w:line="240" w:lineRule="auto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 xml:space="preserve">Obsługa serwisów </w:t>
            </w:r>
            <w:r>
              <w:rPr>
                <w:i/>
                <w:iCs/>
                <w:lang w:val="en-US"/>
              </w:rPr>
              <w:t xml:space="preserve">OGC </w:t>
            </w:r>
            <w:r>
              <w:rPr>
                <w:rFonts w:cs="Calibri"/>
                <w:i/>
                <w:iCs/>
                <w:color w:val="000000"/>
                <w:lang w:val="en-US" w:eastAsia="pl-PL"/>
              </w:rPr>
              <w:t>serwera usług danych przestrzennych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0585" w14:textId="77777777" w:rsidR="001159F6" w:rsidRDefault="001159F6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A97E" w14:textId="77777777" w:rsidR="001159F6" w:rsidRDefault="001159F6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Pw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0903" w14:textId="77777777" w:rsidR="001159F6" w:rsidRDefault="001159F6">
            <w:pPr>
              <w:rPr>
                <w:rFonts w:cs="Calibri"/>
                <w:i/>
                <w:iCs/>
                <w:color w:val="000000"/>
                <w:lang w:val="en-US" w:eastAsia="pl-PL"/>
              </w:rPr>
            </w:pPr>
          </w:p>
        </w:tc>
      </w:tr>
    </w:tbl>
    <w:p w14:paraId="1860C596" w14:textId="77777777" w:rsidR="001159F6" w:rsidRDefault="001159F6" w:rsidP="001159F6">
      <w:pPr>
        <w:jc w:val="both"/>
      </w:pP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007"/>
        <w:gridCol w:w="1041"/>
        <w:gridCol w:w="1201"/>
        <w:gridCol w:w="1316"/>
      </w:tblGrid>
      <w:tr w:rsidR="001159F6" w14:paraId="52C9FCEC" w14:textId="77777777" w:rsidTr="001159F6">
        <w:trPr>
          <w:trHeight w:val="2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D6CB" w14:textId="77777777" w:rsidR="001159F6" w:rsidRDefault="001159F6">
            <w:pPr>
              <w:spacing w:after="0" w:line="240" w:lineRule="auto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WG.2.2.5.2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8A4" w14:textId="77777777" w:rsidR="001159F6" w:rsidRDefault="001159F6">
            <w:pPr>
              <w:spacing w:after="0" w:line="240" w:lineRule="auto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Obsługa OGC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1ED3" w14:textId="77777777" w:rsidR="001159F6" w:rsidRDefault="001159F6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56EC" w14:textId="77777777" w:rsidR="001159F6" w:rsidRDefault="001159F6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en-US" w:eastAsia="pl-PL"/>
              </w:rPr>
            </w:pPr>
            <w:r>
              <w:rPr>
                <w:rFonts w:cs="Calibri"/>
                <w:i/>
                <w:iCs/>
                <w:color w:val="000000"/>
                <w:lang w:val="en-US" w:eastAsia="pl-PL"/>
              </w:rPr>
              <w:t>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8682" w14:textId="77777777" w:rsidR="001159F6" w:rsidRDefault="001159F6">
            <w:pPr>
              <w:rPr>
                <w:rFonts w:cs="Calibri"/>
                <w:i/>
                <w:iCs/>
                <w:color w:val="000000"/>
                <w:lang w:val="en-US" w:eastAsia="pl-PL"/>
              </w:rPr>
            </w:pPr>
          </w:p>
        </w:tc>
      </w:tr>
    </w:tbl>
    <w:p w14:paraId="29F8BF74" w14:textId="77777777" w:rsidR="001159F6" w:rsidRDefault="001159F6" w:rsidP="001159F6">
      <w:pPr>
        <w:jc w:val="both"/>
      </w:pPr>
    </w:p>
    <w:p w14:paraId="46D59730" w14:textId="64299D1F" w:rsidR="001159F6" w:rsidRDefault="001159F6" w:rsidP="001159F6">
      <w:pPr>
        <w:jc w:val="both"/>
      </w:pPr>
      <w:r>
        <w:t>W odpowiedz na odwołanie zarzut ten uwzględniamy w całości. Wprawdzie Odwołujący nie podał żądanej treści zapisu, napisał natomiast, że modyfikacja Załąc</w:t>
      </w:r>
      <w:r w:rsidR="00F03DE1">
        <w:t>znika nr 4a do SIWZ – SOPZ oraz </w:t>
      </w:r>
      <w:r>
        <w:t>załącznika nr 1B do Formularza ofertowego ma polegać na opisaniu wymagań protokołu dostępu do danych przestrzennych poprzez standardy OPEN GIS CONSORTIUM (OGC) oraz wskazanie konkretnych, zatwierdzonych i opublikowanych standardów OGC, co Zamawiający niniejszym wykonał, dlatego ustaje przyczyna wniesienia odwołania w tym punkcie.</w:t>
      </w:r>
    </w:p>
    <w:p w14:paraId="0B15E24F" w14:textId="77777777" w:rsidR="001159F6" w:rsidRDefault="001159F6" w:rsidP="001159F6">
      <w:pPr>
        <w:jc w:val="both"/>
      </w:pPr>
    </w:p>
    <w:p w14:paraId="6197AA51" w14:textId="026A0652" w:rsidR="001159F6" w:rsidRDefault="001159F6" w:rsidP="001159F6">
      <w:pPr>
        <w:jc w:val="both"/>
      </w:pPr>
      <w:r>
        <w:t>Mając powyższe na uwadze, Zamawiający wnosi jak na wstępie i zgo</w:t>
      </w:r>
      <w:r w:rsidR="00F03DE1">
        <w:t>dnie z ww. argumentacją wnosi o </w:t>
      </w:r>
      <w:r>
        <w:t>oddalenie odwołania</w:t>
      </w:r>
      <w:r w:rsidR="00F03DE1">
        <w:t xml:space="preserve"> </w:t>
      </w:r>
      <w:r>
        <w:t>- tj. oddalenie w zakresie zarzutów nieuwzględnionych.</w:t>
      </w:r>
    </w:p>
    <w:p w14:paraId="68147544" w14:textId="77777777" w:rsidR="002C4B7A" w:rsidRDefault="002C4B7A" w:rsidP="002C4B7A">
      <w:pPr>
        <w:spacing w:after="0" w:line="240" w:lineRule="auto"/>
        <w:ind w:left="4956"/>
        <w:jc w:val="center"/>
        <w:rPr>
          <w:b/>
        </w:rPr>
      </w:pPr>
    </w:p>
    <w:p w14:paraId="4CA8AD83" w14:textId="40967BB4" w:rsidR="002C4B7A" w:rsidRDefault="002C4B7A" w:rsidP="002C4B7A">
      <w:pPr>
        <w:spacing w:after="0" w:line="240" w:lineRule="auto"/>
        <w:ind w:left="4956"/>
        <w:jc w:val="center"/>
        <w:rPr>
          <w:b/>
        </w:rPr>
      </w:pPr>
      <w:r>
        <w:rPr>
          <w:b/>
        </w:rPr>
        <w:t>CZŁONEK ZARZĄDU</w:t>
      </w:r>
    </w:p>
    <w:p w14:paraId="7E155540" w14:textId="77777777" w:rsidR="002C4B7A" w:rsidRDefault="002C4B7A" w:rsidP="002C4B7A">
      <w:pPr>
        <w:spacing w:after="0" w:line="240" w:lineRule="auto"/>
        <w:ind w:left="4956"/>
        <w:jc w:val="center"/>
        <w:rPr>
          <w:b/>
        </w:rPr>
      </w:pPr>
      <w:r>
        <w:rPr>
          <w:b/>
        </w:rPr>
        <w:t>/-/</w:t>
      </w:r>
    </w:p>
    <w:p w14:paraId="13747037" w14:textId="77777777" w:rsidR="002C4B7A" w:rsidRDefault="002C4B7A" w:rsidP="002C4B7A">
      <w:pPr>
        <w:spacing w:after="0" w:line="240" w:lineRule="auto"/>
        <w:ind w:left="4956"/>
        <w:jc w:val="center"/>
        <w:rPr>
          <w:b/>
        </w:rPr>
      </w:pPr>
      <w:r>
        <w:rPr>
          <w:b/>
        </w:rPr>
        <w:t>MARZENA WODZIŃSKA</w:t>
      </w:r>
    </w:p>
    <w:p w14:paraId="75019A1C" w14:textId="77777777" w:rsidR="002C4B7A" w:rsidRDefault="002C4B7A" w:rsidP="002C4B7A">
      <w:pPr>
        <w:spacing w:after="0" w:line="240" w:lineRule="auto"/>
        <w:rPr>
          <w:b/>
        </w:rPr>
      </w:pPr>
    </w:p>
    <w:p w14:paraId="598223D9" w14:textId="7F774B89" w:rsidR="002C4B7A" w:rsidRDefault="002C4B7A" w:rsidP="002C4B7A">
      <w:pPr>
        <w:spacing w:after="0" w:line="240" w:lineRule="auto"/>
        <w:ind w:left="4956" w:firstLine="708"/>
        <w:rPr>
          <w:b/>
        </w:rPr>
      </w:pPr>
    </w:p>
    <w:p w14:paraId="1E99C866" w14:textId="77777777" w:rsidR="002C4B7A" w:rsidRDefault="002C4B7A" w:rsidP="002C4B7A">
      <w:pPr>
        <w:spacing w:after="0" w:line="240" w:lineRule="auto"/>
        <w:ind w:left="4956" w:firstLine="708"/>
        <w:rPr>
          <w:b/>
        </w:rPr>
      </w:pPr>
    </w:p>
    <w:p w14:paraId="70A62973" w14:textId="77777777" w:rsidR="002C4B7A" w:rsidRDefault="002C4B7A" w:rsidP="002C4B7A">
      <w:pPr>
        <w:spacing w:after="0" w:line="240" w:lineRule="auto"/>
        <w:ind w:left="4956" w:firstLine="708"/>
        <w:rPr>
          <w:b/>
        </w:rPr>
      </w:pPr>
      <w:r>
        <w:rPr>
          <w:b/>
        </w:rPr>
        <w:t>WICEMARSZAŁEK WOJEWÓDZTWA</w:t>
      </w:r>
    </w:p>
    <w:p w14:paraId="31911704" w14:textId="77777777" w:rsidR="002C4B7A" w:rsidRDefault="002C4B7A" w:rsidP="002C4B7A">
      <w:pPr>
        <w:spacing w:after="0" w:line="240" w:lineRule="auto"/>
        <w:ind w:left="4956"/>
        <w:jc w:val="center"/>
        <w:rPr>
          <w:b/>
        </w:rPr>
      </w:pPr>
      <w:r>
        <w:rPr>
          <w:b/>
        </w:rPr>
        <w:t>/-/</w:t>
      </w:r>
    </w:p>
    <w:p w14:paraId="262CC035" w14:textId="77777777" w:rsidR="002C4B7A" w:rsidRDefault="002C4B7A" w:rsidP="002C4B7A">
      <w:pPr>
        <w:spacing w:after="0" w:line="240" w:lineRule="auto"/>
        <w:ind w:left="4956"/>
        <w:jc w:val="center"/>
        <w:rPr>
          <w:b/>
        </w:rPr>
      </w:pPr>
      <w:r>
        <w:rPr>
          <w:b/>
        </w:rPr>
        <w:t>WOJCIECH JANKOWIAK</w:t>
      </w:r>
    </w:p>
    <w:p w14:paraId="3C01B103" w14:textId="4C3B47BF" w:rsidR="00C00A8F" w:rsidRPr="00727753" w:rsidRDefault="00C00A8F" w:rsidP="001159F6">
      <w:pPr>
        <w:ind w:firstLine="708"/>
      </w:pPr>
      <w:bookmarkStart w:id="0" w:name="_GoBack"/>
      <w:bookmarkEnd w:id="0"/>
    </w:p>
    <w:sectPr w:rsidR="00C00A8F" w:rsidRPr="007277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E6C3" w14:textId="77777777" w:rsidR="00094D3D" w:rsidRDefault="00094D3D" w:rsidP="00C00A8F">
      <w:pPr>
        <w:spacing w:after="0" w:line="240" w:lineRule="auto"/>
      </w:pPr>
      <w:r>
        <w:separator/>
      </w:r>
    </w:p>
  </w:endnote>
  <w:endnote w:type="continuationSeparator" w:id="0">
    <w:p w14:paraId="6158FB92" w14:textId="77777777" w:rsidR="00094D3D" w:rsidRDefault="00094D3D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45600"/>
      <w:docPartObj>
        <w:docPartGallery w:val="Page Numbers (Bottom of Page)"/>
        <w:docPartUnique/>
      </w:docPartObj>
    </w:sdtPr>
    <w:sdtEndPr/>
    <w:sdtContent>
      <w:p w14:paraId="41A02541" w14:textId="3DE5E213" w:rsidR="00DD2B14" w:rsidRDefault="00DD2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7A">
          <w:rPr>
            <w:noProof/>
          </w:rPr>
          <w:t>7</w:t>
        </w:r>
        <w:r>
          <w:fldChar w:fldCharType="end"/>
        </w:r>
      </w:p>
    </w:sdtContent>
  </w:sdt>
  <w:p w14:paraId="1829C6E0" w14:textId="449FCD9F" w:rsidR="00C00A8F" w:rsidRDefault="00C00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51FF" w14:textId="77777777" w:rsidR="00094D3D" w:rsidRDefault="00094D3D" w:rsidP="00C00A8F">
      <w:pPr>
        <w:spacing w:after="0" w:line="240" w:lineRule="auto"/>
      </w:pPr>
      <w:r>
        <w:separator/>
      </w:r>
    </w:p>
  </w:footnote>
  <w:footnote w:type="continuationSeparator" w:id="0">
    <w:p w14:paraId="238D1536" w14:textId="77777777" w:rsidR="00094D3D" w:rsidRDefault="00094D3D" w:rsidP="00C00A8F">
      <w:pPr>
        <w:spacing w:after="0" w:line="240" w:lineRule="auto"/>
      </w:pPr>
      <w:r>
        <w:continuationSeparator/>
      </w:r>
    </w:p>
  </w:footnote>
  <w:footnote w:id="1">
    <w:p w14:paraId="1B3A983E" w14:textId="77777777" w:rsidR="001159F6" w:rsidRDefault="001159F6" w:rsidP="001159F6">
      <w:pPr>
        <w:pStyle w:val="Tekstprzypisudolnego"/>
      </w:pPr>
      <w:r>
        <w:rPr>
          <w:rStyle w:val="Odwoanieprzypisudolnego"/>
        </w:rPr>
        <w:footnoteRef/>
      </w:r>
      <w:r>
        <w:t xml:space="preserve"> Przykłady podobnych postępowań z zastosowaniem próbki: </w:t>
      </w:r>
    </w:p>
    <w:p w14:paraId="31EF491B" w14:textId="77777777" w:rsidR="001159F6" w:rsidRDefault="001159F6" w:rsidP="001159F6">
      <w:pPr>
        <w:pStyle w:val="Tekstprzypisudolnego"/>
      </w:pPr>
      <w:r>
        <w:t>1. UMiG Koniecpol, Zakup oraz wdrożenie systemu komunikacji elektronicznej oraz realizacja szkoleń w ramach projektu pn. Rozwój e-usług w Mieście i Gminie Koniecpol – szansą na nowoczesność: https://bip.koniecpol.pl/index.php?id=171&amp;p=94</w:t>
      </w:r>
    </w:p>
    <w:p w14:paraId="43D46EB2" w14:textId="77777777" w:rsidR="001159F6" w:rsidRDefault="001159F6" w:rsidP="001159F6">
      <w:pPr>
        <w:pStyle w:val="Tekstprzypisudolnego"/>
      </w:pPr>
      <w:r>
        <w:t>2. UM Jordanów, E-Jordanów - wdrożenie innowacyjnych i kompleksowych usług publicznych w Mieście Jordanów: https://jordanow.pl/index.php/urzad-miasta/zamowienia-publiczne/2297-przedmiot-projektu-e-jordanow-wdrozenie-innowacyjnych-i-kompleksowych-uslug-publicznych-w-miescie-jordanow</w:t>
      </w:r>
    </w:p>
    <w:p w14:paraId="47A76CFE" w14:textId="77777777" w:rsidR="001159F6" w:rsidRDefault="001159F6" w:rsidP="001159F6">
      <w:pPr>
        <w:pStyle w:val="Tekstprzypisudolnego"/>
      </w:pPr>
      <w:r>
        <w:t>3. UG Bojszowy, Wdrożenie e-usług publicznych urzędu oraz systemów teleinformatycznych umożliwiających ich świadczenie w ramach projektu pn: „e-Bojszowy - spr@wny urząd”: https://bip.bojszowy.pl/pl/2679/1486/wdrozenie-e-uslug-publicznych-urzedu-oraz-systemow-teleinformatycznych-umozliwiajacych-ich-swiadczenie-w-ramach-projektu-pn-%E2%80%9Ee-bojszowy-spr-wny-urzad%E2%80%9D.html</w:t>
      </w:r>
    </w:p>
    <w:p w14:paraId="7D0D2D4D" w14:textId="77777777" w:rsidR="001159F6" w:rsidRDefault="001159F6" w:rsidP="001159F6">
      <w:pPr>
        <w:pStyle w:val="Tekstprzypisudolnego"/>
      </w:pPr>
      <w:r>
        <w:t>4. UM Trzebinia, Cyfrowy urząd w twoim domu - cyfrowa administracja blisko mieszkańców Gminy Trzebinia - systemy informatyczne: https://bip.malopolska.pl/umtrzebinia,a,1371851,cyfrowy-urzad-w-twoim-domu-cyfrowa-administracja-blisko-mieszkancow-gminy-trzebinia-systemy-informat.html</w:t>
      </w:r>
    </w:p>
    <w:p w14:paraId="7D8FEBCA" w14:textId="77777777" w:rsidR="001159F6" w:rsidRDefault="001159F6" w:rsidP="001159F6">
      <w:pPr>
        <w:pStyle w:val="Tekstprzypisudolnego"/>
      </w:pPr>
      <w:r>
        <w:t>5. Starostwo Powiatowe w Oleśnicy, Dostawa licencji wraz z wdrożeniem zaawansowanych e-Usług powiatowych oraz udostępnienie zasobów geodezyjnych w ramach projektu „Rozwój elektronicznych usług publicznych w powiecie oleśnickim": http://www.bip.powiat-olesnicki.pl/index.php?kat=341&amp;page=6</w:t>
      </w:r>
    </w:p>
    <w:p w14:paraId="1555984D" w14:textId="77777777" w:rsidR="001159F6" w:rsidRDefault="001159F6" w:rsidP="001159F6">
      <w:pPr>
        <w:pStyle w:val="Tekstprzypisudolnego"/>
      </w:pPr>
      <w:r>
        <w:t>6. System Elektronicznej Komunikacji Administracji Publicznej w Województwie Śląskim, Śląskie Centrum Społeczeństwa Informacyjnego.</w:t>
      </w:r>
    </w:p>
    <w:p w14:paraId="0FC07574" w14:textId="77777777" w:rsidR="001159F6" w:rsidRDefault="001159F6" w:rsidP="001159F6">
      <w:pPr>
        <w:pStyle w:val="Tekstprzypisudolnego"/>
      </w:pPr>
      <w:r>
        <w:t xml:space="preserve">7. PSeAP - Podkarpacki System e-Administracji Publicznej, Urząd Marszałkowski Województwa Podkarpackiego </w:t>
      </w:r>
    </w:p>
    <w:p w14:paraId="65668E72" w14:textId="77777777" w:rsidR="001159F6" w:rsidRDefault="001159F6" w:rsidP="001159F6">
      <w:pPr>
        <w:pStyle w:val="Tekstprzypisudolnego"/>
      </w:pPr>
      <w:r>
        <w:t>8. Wdrażanie elektronicznych usług dla ludności województwa podlaskiego – część II, administracja samorządowa, Urząd Marszałkowski Województwa Podlaskiego w Białymstoku.</w:t>
      </w:r>
    </w:p>
  </w:footnote>
  <w:footnote w:id="2">
    <w:p w14:paraId="2A73AB2B" w14:textId="77777777" w:rsidR="001159F6" w:rsidRDefault="001159F6" w:rsidP="00DD0E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Przykłady podobnych postępowań:</w:t>
      </w:r>
    </w:p>
    <w:p w14:paraId="327A5ED9" w14:textId="77777777" w:rsidR="001159F6" w:rsidRDefault="001159F6" w:rsidP="00DD0E0E">
      <w:pPr>
        <w:pStyle w:val="Tekstprzypisudolnego"/>
        <w:jc w:val="both"/>
      </w:pPr>
      <w:r>
        <w:t>http://www.zachodniopomorskie.kas.gov.pl/izba-administracji-skarbowej-w-szczecinie/ogloszenia/zamowienia-publiczne/zamowienia-publiczne-powyzej-30-tys-eur/-/asset_publisher/rtT5/content/zaprojektowanie-realizacja-wdrozenie-rozwoj-i-utrzymanie-systemu-platforma-koordynacji-i-wymiany-danych-single-window?redirect=http%3A%2F%2Fwww.zachodniopomorskie.kas.gov.pl%2Fizba-administracji-skarbowej-w-szczecinie%2Fogloszenia%2Fzamowienia-publiczne%2Fzamowienia-publiczne-powyzej-30-tys-eur%3Fp_p_id%3D101_INSTANCE_rtT5%26p_p_lifecycle%3D0%26p_p_state%3Dnormal%26p_p_mode%3Dview%26p_p_col_id%3Dcolumn-2%26p_p_col_count%3D1%26_101_INSTANCE_rtT5_advancedSearch%3Dfalse%26_101_INSTANCE_rtT5_keywords%3D%26_101_INSTANCE_rtT5_delta%3D20%26_101_INSTANCE_rtT5_cur%3D2%26_101_INSTANCE_rtT5_andOperator%3Dtrue#p_p_id_101_INSTANCE_rtT5_</w:t>
      </w:r>
    </w:p>
    <w:p w14:paraId="1B957696" w14:textId="77777777" w:rsidR="001159F6" w:rsidRDefault="001159F6" w:rsidP="00DD0E0E">
      <w:pPr>
        <w:pStyle w:val="Tekstprzypisudolnego"/>
        <w:jc w:val="both"/>
      </w:pPr>
    </w:p>
    <w:p w14:paraId="4FF32478" w14:textId="77777777" w:rsidR="001159F6" w:rsidRDefault="001159F6" w:rsidP="00DD0E0E">
      <w:pPr>
        <w:pStyle w:val="Tekstprzypisudolnego"/>
        <w:jc w:val="both"/>
      </w:pPr>
      <w:r>
        <w:t>http://www.podkarpackie.kas.gov.pl/izba-administracji-skarbowej-w-rzeszowie/ogloszenia/zamowienia-publiczne/zamowienia-publiczne-powyzej-30-tys-eur/-/asset_publisher/7RbF/content/zamowienie-na-zaprojektowanie-wykonanie-dostawe-wdrozenie-gwarantowanie-prawidlowego-funkcjonowania-rozwoj-i-wsparcie-utrzymania-wszystkich-srodowisk-systemu-cyfrowa-granica-w-tym-dostawe-instalacje-montaz-i-konfiguracje-platformy-sprzetowej-warstwy-lokalnej?redirect=http%3A%2F%2Fwww.podkarpackie.kas.gov.pl%2Fizba-administracji-skarbowej-w-rzeszowie%2Fogloszenia%2Fzamowienia-publiczne%2Fzamowienia-publiczne-powyzej-30-tys-eur%3Fp_p_id%3D101_INSTANCE_7RbF%26p_p_lifecycle%3D0%26p_p_state%3Dnormal%26p_p_mode%3Dview%26p_p_col_id%3Dcolumn-2%26p_p_col_count%3D1</w:t>
      </w:r>
    </w:p>
  </w:footnote>
  <w:footnote w:id="3">
    <w:p w14:paraId="3DCAF07A" w14:textId="49941269" w:rsidR="001159F6" w:rsidRDefault="001159F6" w:rsidP="001159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por. zapis </w:t>
      </w:r>
      <w:r>
        <w:rPr>
          <w:rFonts w:cstheme="minorHAnsi"/>
        </w:rPr>
        <w:t>§</w:t>
      </w:r>
      <w:r>
        <w:t xml:space="preserve">5 ust. 4 Załącznika </w:t>
      </w:r>
      <w:r>
        <w:rPr>
          <w:rFonts w:cs="Calibri"/>
        </w:rPr>
        <w:t>nr 3a do SIWZ (</w:t>
      </w:r>
      <w:r>
        <w:rPr>
          <w:rFonts w:cs="Calibri"/>
          <w:i/>
          <w:iCs/>
        </w:rPr>
        <w:t>Istotne Postanowienia Umowy</w:t>
      </w:r>
      <w:r>
        <w:rPr>
          <w:rFonts w:cs="Calibri"/>
        </w:rPr>
        <w:t>): „Przed przystąpieniem do prac wdrożeniowych, Wykonawca opracuje i przedstawi Zamawiającemu Anal</w:t>
      </w:r>
      <w:r w:rsidR="00DD0E0E">
        <w:rPr>
          <w:rFonts w:cs="Calibri"/>
        </w:rPr>
        <w:t>izę przedwdrożeniową, zgodnie z </w:t>
      </w:r>
      <w:r>
        <w:rPr>
          <w:rFonts w:cs="Calibri"/>
        </w:rPr>
        <w:t>wymaganiem WNF.3.1 SOPZ”.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EA0"/>
    <w:multiLevelType w:val="hybridMultilevel"/>
    <w:tmpl w:val="CA52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7CE"/>
    <w:multiLevelType w:val="hybridMultilevel"/>
    <w:tmpl w:val="717A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941904"/>
    <w:multiLevelType w:val="hybridMultilevel"/>
    <w:tmpl w:val="E9CA808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84EEC"/>
    <w:multiLevelType w:val="hybridMultilevel"/>
    <w:tmpl w:val="24DC6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43C9"/>
    <w:multiLevelType w:val="hybridMultilevel"/>
    <w:tmpl w:val="7D0CA262"/>
    <w:lvl w:ilvl="0" w:tplc="1804C0D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09C5"/>
    <w:multiLevelType w:val="hybridMultilevel"/>
    <w:tmpl w:val="198A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73B8D"/>
    <w:multiLevelType w:val="hybridMultilevel"/>
    <w:tmpl w:val="3DCA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6DA"/>
    <w:multiLevelType w:val="hybridMultilevel"/>
    <w:tmpl w:val="CD96B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C00F1"/>
    <w:multiLevelType w:val="hybridMultilevel"/>
    <w:tmpl w:val="B0F8B466"/>
    <w:lvl w:ilvl="0" w:tplc="B5DC627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446E"/>
    <w:multiLevelType w:val="hybridMultilevel"/>
    <w:tmpl w:val="D256A89E"/>
    <w:lvl w:ilvl="0" w:tplc="C33C7EC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11DF"/>
    <w:multiLevelType w:val="hybridMultilevel"/>
    <w:tmpl w:val="AFC6B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27C7"/>
    <w:multiLevelType w:val="hybridMultilevel"/>
    <w:tmpl w:val="283A9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C501E"/>
    <w:multiLevelType w:val="hybridMultilevel"/>
    <w:tmpl w:val="CE4013DE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72786"/>
    <w:rsid w:val="00092769"/>
    <w:rsid w:val="00094D3D"/>
    <w:rsid w:val="000A19D3"/>
    <w:rsid w:val="000E68B3"/>
    <w:rsid w:val="000F3EF1"/>
    <w:rsid w:val="001156C2"/>
    <w:rsid w:val="001159F6"/>
    <w:rsid w:val="0011789E"/>
    <w:rsid w:val="00161F98"/>
    <w:rsid w:val="001B63D4"/>
    <w:rsid w:val="001C0AD7"/>
    <w:rsid w:val="001C7E04"/>
    <w:rsid w:val="001F426C"/>
    <w:rsid w:val="002057C7"/>
    <w:rsid w:val="002577E3"/>
    <w:rsid w:val="002B61CB"/>
    <w:rsid w:val="002C4B7A"/>
    <w:rsid w:val="003529BF"/>
    <w:rsid w:val="003B2296"/>
    <w:rsid w:val="00411D9C"/>
    <w:rsid w:val="004549D0"/>
    <w:rsid w:val="004A1389"/>
    <w:rsid w:val="004A604F"/>
    <w:rsid w:val="004B56BE"/>
    <w:rsid w:val="004C481F"/>
    <w:rsid w:val="005A2BC4"/>
    <w:rsid w:val="005B489F"/>
    <w:rsid w:val="00616BCB"/>
    <w:rsid w:val="006232AE"/>
    <w:rsid w:val="00657D27"/>
    <w:rsid w:val="00724B49"/>
    <w:rsid w:val="00727753"/>
    <w:rsid w:val="0075504A"/>
    <w:rsid w:val="00777271"/>
    <w:rsid w:val="007B11FE"/>
    <w:rsid w:val="0084372D"/>
    <w:rsid w:val="00871156"/>
    <w:rsid w:val="008763AA"/>
    <w:rsid w:val="008B317B"/>
    <w:rsid w:val="008E1B5B"/>
    <w:rsid w:val="008F1EC8"/>
    <w:rsid w:val="00963142"/>
    <w:rsid w:val="00975276"/>
    <w:rsid w:val="009C7A83"/>
    <w:rsid w:val="009E22FE"/>
    <w:rsid w:val="009E64CB"/>
    <w:rsid w:val="00A07433"/>
    <w:rsid w:val="00A43EC3"/>
    <w:rsid w:val="00A95471"/>
    <w:rsid w:val="00B133C9"/>
    <w:rsid w:val="00B759D0"/>
    <w:rsid w:val="00B8071A"/>
    <w:rsid w:val="00BD4DDD"/>
    <w:rsid w:val="00C00A8F"/>
    <w:rsid w:val="00C03177"/>
    <w:rsid w:val="00C43612"/>
    <w:rsid w:val="00C458C2"/>
    <w:rsid w:val="00D16273"/>
    <w:rsid w:val="00D258E4"/>
    <w:rsid w:val="00DD0E0E"/>
    <w:rsid w:val="00DD2B14"/>
    <w:rsid w:val="00DE510C"/>
    <w:rsid w:val="00E154DC"/>
    <w:rsid w:val="00E21190"/>
    <w:rsid w:val="00E23C8D"/>
    <w:rsid w:val="00F03DE1"/>
    <w:rsid w:val="00F17BC1"/>
    <w:rsid w:val="00F31E4B"/>
    <w:rsid w:val="00F36EA0"/>
    <w:rsid w:val="00F77088"/>
    <w:rsid w:val="00FC58D7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FCB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2"/>
    <w:basedOn w:val="Normalny"/>
    <w:link w:val="AkapitzlistZnak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character" w:styleId="Hipercze">
    <w:name w:val="Hyperlink"/>
    <w:basedOn w:val="Domylnaczcionkaakapitu"/>
    <w:uiPriority w:val="99"/>
    <w:unhideWhenUsed/>
    <w:rsid w:val="00161F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58C2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Kolorowa lista — akcent 11 Znak,List Paragraph2 Znak"/>
    <w:basedOn w:val="Domylnaczcionkaakapitu"/>
    <w:link w:val="Akapitzlist"/>
    <w:uiPriority w:val="34"/>
    <w:qFormat/>
    <w:locked/>
    <w:rsid w:val="00C458C2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9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40</cp:revision>
  <dcterms:created xsi:type="dcterms:W3CDTF">2019-07-18T10:11:00Z</dcterms:created>
  <dcterms:modified xsi:type="dcterms:W3CDTF">2019-08-06T13:09:00Z</dcterms:modified>
</cp:coreProperties>
</file>