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1320" w14:textId="77777777" w:rsidR="00F704D6" w:rsidRPr="00F704D6" w:rsidRDefault="00F704D6" w:rsidP="00F704D6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</w:rPr>
      </w:pPr>
      <w:r w:rsidRPr="00F704D6">
        <w:rPr>
          <w:rFonts w:asciiTheme="minorHAnsi" w:hAnsiTheme="minorHAnsi" w:cstheme="minorHAnsi"/>
          <w:bCs/>
        </w:rPr>
        <w:t>Poznań, dnia</w:t>
      </w:r>
      <w:r w:rsidRPr="00F704D6">
        <w:rPr>
          <w:rFonts w:asciiTheme="minorHAnsi" w:hAnsiTheme="minorHAnsi" w:cstheme="minorHAnsi"/>
          <w:b/>
          <w:bCs/>
        </w:rPr>
        <w:t xml:space="preserve"> </w:t>
      </w:r>
      <w:r w:rsidRPr="00F704D6">
        <w:rPr>
          <w:rFonts w:asciiTheme="minorHAnsi" w:hAnsiTheme="minorHAnsi" w:cstheme="minorHAnsi"/>
          <w:bCs/>
        </w:rPr>
        <w:t xml:space="preserve">17 września 2019 r. </w:t>
      </w:r>
    </w:p>
    <w:p w14:paraId="71A79EAB" w14:textId="77777777" w:rsidR="00F704D6" w:rsidRPr="00F704D6" w:rsidRDefault="00F704D6" w:rsidP="00F704D6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467F037A" w14:textId="77777777" w:rsidR="00F704D6" w:rsidRPr="00F704D6" w:rsidRDefault="00F704D6" w:rsidP="00F704D6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11B534D1" w14:textId="77777777" w:rsidR="00F704D6" w:rsidRPr="00F704D6" w:rsidRDefault="00F704D6" w:rsidP="00F704D6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</w:rPr>
      </w:pPr>
      <w:r w:rsidRPr="00F704D6">
        <w:rPr>
          <w:rFonts w:asciiTheme="minorHAnsi" w:hAnsiTheme="minorHAnsi" w:cstheme="minorHAnsi"/>
          <w:b/>
          <w:bCs/>
        </w:rPr>
        <w:t xml:space="preserve">Wykonawcy </w:t>
      </w:r>
      <w:r w:rsidRPr="00F704D6">
        <w:rPr>
          <w:rFonts w:asciiTheme="minorHAnsi" w:hAnsiTheme="minorHAnsi" w:cstheme="minorHAnsi"/>
          <w:b/>
          <w:bCs/>
        </w:rPr>
        <w:br/>
        <w:t>Wszyscy zainteresowani</w:t>
      </w:r>
    </w:p>
    <w:p w14:paraId="6FB7F311" w14:textId="77777777" w:rsidR="00F704D6" w:rsidRPr="00F704D6" w:rsidRDefault="00F704D6" w:rsidP="00F704D6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</w:rPr>
      </w:pP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</w:r>
      <w:r w:rsidRPr="00F704D6">
        <w:rPr>
          <w:rFonts w:asciiTheme="minorHAnsi" w:hAnsiTheme="minorHAnsi" w:cstheme="minorHAnsi"/>
          <w:b/>
          <w:bCs/>
          <w:i/>
        </w:rPr>
        <w:tab/>
        <w:t>strona bip.umww.pl</w:t>
      </w:r>
      <w:r w:rsidRPr="00F704D6">
        <w:rPr>
          <w:rFonts w:asciiTheme="minorHAnsi" w:hAnsiTheme="minorHAnsi" w:cstheme="minorHAnsi"/>
          <w:b/>
          <w:bCs/>
          <w:i/>
        </w:rPr>
        <w:tab/>
      </w:r>
    </w:p>
    <w:p w14:paraId="7EF4B567" w14:textId="77777777" w:rsidR="00F704D6" w:rsidRPr="00F704D6" w:rsidRDefault="00F704D6" w:rsidP="00F704D6">
      <w:pPr>
        <w:suppressAutoHyphens/>
        <w:spacing w:after="200"/>
        <w:rPr>
          <w:rFonts w:cstheme="minorHAnsi"/>
          <w:i/>
          <w:color w:val="000000"/>
        </w:rPr>
      </w:pPr>
    </w:p>
    <w:p w14:paraId="0CE035B8" w14:textId="56CC0AFA" w:rsidR="00F704D6" w:rsidRPr="00F704D6" w:rsidRDefault="00F704D6" w:rsidP="00F704D6">
      <w:pPr>
        <w:suppressAutoHyphens/>
        <w:spacing w:after="200"/>
        <w:jc w:val="both"/>
        <w:rPr>
          <w:rFonts w:cstheme="minorHAnsi"/>
          <w:i/>
        </w:rPr>
      </w:pPr>
      <w:r w:rsidRPr="00F704D6">
        <w:rPr>
          <w:rFonts w:cstheme="minorHAnsi"/>
          <w:i/>
          <w:color w:val="000000"/>
        </w:rPr>
        <w:t>Dotyczy postępowania o udzielenie zamówienia publicznego prowadzonego w trybie przetargu nieograniczonego pod nazwą: 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(infrastruktury teleinformatycznej i oprogramowania)”, w ramach dwóch części, nr sprawy: BGW-III.272.2.2017</w:t>
      </w:r>
    </w:p>
    <w:p w14:paraId="10798CB8" w14:textId="77777777" w:rsidR="00F704D6" w:rsidRPr="00F704D6" w:rsidRDefault="00F704D6" w:rsidP="00F704D6">
      <w:pPr>
        <w:spacing w:line="360" w:lineRule="auto"/>
        <w:rPr>
          <w:rFonts w:cstheme="minorHAnsi"/>
          <w:b/>
          <w:color w:val="000000"/>
        </w:rPr>
      </w:pPr>
    </w:p>
    <w:p w14:paraId="05BD4530" w14:textId="273C3840" w:rsidR="00F704D6" w:rsidRPr="00F704D6" w:rsidRDefault="00F704D6" w:rsidP="00F704D6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704D6">
        <w:rPr>
          <w:rFonts w:asciiTheme="minorHAnsi" w:hAnsiTheme="minorHAnsi" w:cstheme="minorHAnsi"/>
          <w:b/>
          <w:bCs/>
          <w:sz w:val="22"/>
          <w:szCs w:val="22"/>
        </w:rPr>
        <w:t>Autopoprawki Zamawiającego</w:t>
      </w:r>
    </w:p>
    <w:p w14:paraId="4C46BEC0" w14:textId="77777777" w:rsidR="00F704D6" w:rsidRPr="00F704D6" w:rsidRDefault="00F704D6" w:rsidP="00F704D6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D50A89E" w14:textId="23FCB059" w:rsidR="00400281" w:rsidRPr="00F704D6" w:rsidRDefault="00F704D6" w:rsidP="00F704D6">
      <w:pPr>
        <w:pStyle w:val="Tekstpodstawow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704D6">
        <w:rPr>
          <w:rFonts w:asciiTheme="minorHAnsi" w:hAnsiTheme="minorHAnsi" w:cstheme="minorHAnsi"/>
          <w:sz w:val="22"/>
          <w:szCs w:val="22"/>
        </w:rPr>
        <w:t xml:space="preserve">Działając zgodnie z art. 38 ust. 4 ustawy z dnia 29 stycznia 2004 r. Prawo zamówień publicznych (t. j. </w:t>
      </w:r>
      <w:r w:rsidRPr="00F704D6">
        <w:rPr>
          <w:rFonts w:asciiTheme="minorHAnsi" w:hAnsiTheme="minorHAnsi" w:cstheme="minorHAnsi"/>
          <w:bCs/>
          <w:color w:val="000000"/>
          <w:sz w:val="22"/>
          <w:szCs w:val="22"/>
        </w:rPr>
        <w:t>Dz. U. 2018 r., poz. 1986 ze zm.</w:t>
      </w:r>
      <w:r w:rsidRPr="00F704D6">
        <w:rPr>
          <w:rFonts w:asciiTheme="minorHAnsi" w:hAnsiTheme="minorHAnsi" w:cstheme="minorHAnsi"/>
          <w:sz w:val="22"/>
          <w:szCs w:val="22"/>
        </w:rPr>
        <w:t xml:space="preserve">), Zamawiający - Województwo Wielkopolskie z siedzibą Urzędu Marszałkowskiego Województwa Wielkopolskiego w Poznaniu, </w:t>
      </w:r>
      <w:r w:rsidR="00400281" w:rsidRPr="00F704D6">
        <w:rPr>
          <w:rFonts w:asciiTheme="minorHAnsi" w:hAnsiTheme="minorHAnsi" w:cstheme="minorHAnsi"/>
          <w:sz w:val="22"/>
          <w:szCs w:val="22"/>
        </w:rPr>
        <w:t>informuje, że w trybie autopoprawek wprowadza następujące zmiany w dokumentacji przetargowej:</w:t>
      </w:r>
    </w:p>
    <w:p w14:paraId="368106DE" w14:textId="2C270A3F" w:rsidR="00313439" w:rsidRPr="00F704D6" w:rsidRDefault="00313439" w:rsidP="0031343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704D6">
        <w:rPr>
          <w:rFonts w:asciiTheme="minorHAnsi" w:hAnsiTheme="minorHAnsi" w:cstheme="minorHAnsi"/>
          <w:sz w:val="22"/>
          <w:szCs w:val="22"/>
        </w:rPr>
        <w:t xml:space="preserve">SIWZ, rozdział XIII </w:t>
      </w:r>
      <w:r w:rsidRPr="00F704D6">
        <w:rPr>
          <w:rFonts w:asciiTheme="minorHAnsi" w:hAnsiTheme="minorHAnsi" w:cstheme="minorHAnsi"/>
          <w:i/>
          <w:iCs/>
          <w:sz w:val="22"/>
          <w:szCs w:val="22"/>
        </w:rPr>
        <w:t>Opis punktów dla kryteriów wyboru ofert wraz z podaniem wag tych kryteriów i sposobu oceny ofert</w:t>
      </w:r>
      <w:r w:rsidRPr="00F704D6">
        <w:rPr>
          <w:rFonts w:asciiTheme="minorHAnsi" w:hAnsiTheme="minorHAnsi" w:cstheme="minorHAnsi"/>
          <w:sz w:val="22"/>
          <w:szCs w:val="22"/>
        </w:rPr>
        <w:t xml:space="preserve">, pkt 3. </w:t>
      </w:r>
      <w:r w:rsidRPr="00F704D6">
        <w:rPr>
          <w:rFonts w:asciiTheme="minorHAnsi" w:hAnsiTheme="minorHAnsi" w:cstheme="minorHAnsi"/>
          <w:i/>
          <w:iCs/>
          <w:sz w:val="22"/>
          <w:szCs w:val="22"/>
        </w:rPr>
        <w:t>Sposób obliczania punktów</w:t>
      </w:r>
      <w:r w:rsidRPr="00F704D6">
        <w:rPr>
          <w:rFonts w:asciiTheme="minorHAnsi" w:hAnsiTheme="minorHAnsi" w:cstheme="minorHAnsi"/>
          <w:sz w:val="22"/>
          <w:szCs w:val="22"/>
        </w:rPr>
        <w:t xml:space="preserve">, ppkt A. </w:t>
      </w:r>
      <w:r w:rsidRPr="00F704D6">
        <w:rPr>
          <w:rFonts w:asciiTheme="minorHAnsi" w:hAnsiTheme="minorHAnsi" w:cstheme="minorHAnsi"/>
          <w:i/>
          <w:iCs/>
          <w:sz w:val="22"/>
          <w:szCs w:val="22"/>
        </w:rPr>
        <w:t>W zakresie Części nr 1.</w:t>
      </w:r>
      <w:r w:rsidRPr="00F704D6">
        <w:rPr>
          <w:rFonts w:asciiTheme="minorHAnsi" w:hAnsiTheme="minorHAnsi" w:cstheme="minorHAnsi"/>
          <w:sz w:val="22"/>
          <w:szCs w:val="22"/>
        </w:rPr>
        <w:t xml:space="preserve">, tabela Lp. 4 </w:t>
      </w:r>
      <w:r w:rsidRPr="00F704D6">
        <w:rPr>
          <w:rFonts w:asciiTheme="minorHAnsi" w:hAnsiTheme="minorHAnsi" w:cstheme="minorHAnsi"/>
          <w:i/>
          <w:iCs/>
          <w:sz w:val="22"/>
          <w:szCs w:val="22"/>
        </w:rPr>
        <w:t>Organizacja, kwalifikacje zawodowe i doświadczenie osób wyznaczonych do realizacji zamówienia</w:t>
      </w:r>
      <w:r w:rsidRPr="00F704D6">
        <w:rPr>
          <w:rFonts w:asciiTheme="minorHAnsi" w:hAnsiTheme="minorHAnsi" w:cstheme="minorHAnsi"/>
          <w:sz w:val="22"/>
          <w:szCs w:val="22"/>
        </w:rPr>
        <w:t>:</w:t>
      </w:r>
    </w:p>
    <w:p w14:paraId="3760BAC5" w14:textId="0EDE5437" w:rsidR="00313439" w:rsidRPr="00313439" w:rsidRDefault="00313439" w:rsidP="00313439">
      <w:pPr>
        <w:pStyle w:val="Default"/>
        <w:spacing w:after="240"/>
        <w:ind w:left="1418" w:hanging="698"/>
        <w:rPr>
          <w:sz w:val="22"/>
          <w:szCs w:val="22"/>
        </w:rPr>
      </w:pPr>
      <w:r w:rsidRPr="00F704D6">
        <w:rPr>
          <w:rFonts w:asciiTheme="minorHAnsi" w:hAnsiTheme="minorHAnsi" w:cstheme="minorHAnsi"/>
          <w:sz w:val="22"/>
          <w:szCs w:val="22"/>
        </w:rPr>
        <w:t xml:space="preserve">było: </w:t>
      </w:r>
      <w:r w:rsidRPr="00F704D6">
        <w:rPr>
          <w:rFonts w:asciiTheme="minorHAnsi" w:hAnsiTheme="minorHAnsi" w:cstheme="minorHAnsi"/>
          <w:sz w:val="22"/>
          <w:szCs w:val="22"/>
        </w:rPr>
        <w:tab/>
        <w:t xml:space="preserve">Por to liczba punktów przyznanych za sposób organizacji zespołu osób wyznaczonych do realizacji zamówienia. Zamawiający przyzna w tym podkryterium od 0 do 2 pkt na podstawie opisu sposobu organizacji zespołu, złożonego przez Wykonawcę na formularzu ofertowym, biorąc pod uwagę takie czynniki jak: zastępowalność i </w:t>
      </w:r>
      <w:r w:rsidRPr="00313439">
        <w:rPr>
          <w:sz w:val="22"/>
          <w:szCs w:val="22"/>
        </w:rPr>
        <w:t xml:space="preserve">zapewnienie ciągłości prac, przy przyznaniu 1 pkt za każdą dodatkową osobę wykazaną na stanowisku Analityka. </w:t>
      </w:r>
    </w:p>
    <w:p w14:paraId="0A30D9CA" w14:textId="55259072" w:rsidR="00313439" w:rsidRPr="00313439" w:rsidRDefault="003632D6" w:rsidP="00313439">
      <w:pPr>
        <w:pStyle w:val="Default"/>
        <w:spacing w:after="240"/>
        <w:ind w:left="1418" w:hanging="698"/>
        <w:rPr>
          <w:sz w:val="22"/>
          <w:szCs w:val="22"/>
        </w:rPr>
      </w:pPr>
      <w:r>
        <w:rPr>
          <w:rFonts w:cstheme="minorHAnsi"/>
        </w:rPr>
        <w:lastRenderedPageBreak/>
        <w:t>jest</w:t>
      </w:r>
      <w:r w:rsidR="00313439" w:rsidRPr="00313439">
        <w:rPr>
          <w:rFonts w:cstheme="minorHAnsi"/>
        </w:rPr>
        <w:t xml:space="preserve">: </w:t>
      </w:r>
      <w:r w:rsidR="00313439" w:rsidRPr="00313439">
        <w:rPr>
          <w:rFonts w:cstheme="minorHAnsi"/>
        </w:rPr>
        <w:tab/>
      </w:r>
      <w:r w:rsidR="00313439" w:rsidRPr="00313439">
        <w:rPr>
          <w:sz w:val="22"/>
          <w:szCs w:val="22"/>
        </w:rPr>
        <w:t>P</w:t>
      </w:r>
      <w:r w:rsidR="00313439" w:rsidRPr="00313439">
        <w:rPr>
          <w:sz w:val="14"/>
          <w:szCs w:val="14"/>
        </w:rPr>
        <w:t xml:space="preserve">or </w:t>
      </w:r>
      <w:r w:rsidR="00313439" w:rsidRPr="00313439">
        <w:rPr>
          <w:sz w:val="22"/>
          <w:szCs w:val="22"/>
        </w:rPr>
        <w:t xml:space="preserve">to liczba punktów przyznanych za sposób organizacji zespołu osób wyznaczonych do realizacji zamówienia. Zamawiający przyzna w tym podkryterium od 0 do 2 pkt na podstawie opisu sposobu organizacji zespołu, złożonego przez Wykonawcę na formularzu ofertowym, biorąc pod uwagę takie czynniki jak: zastępowalność i zapewnienie ciągłości prac, przy przyznaniu 1 pkt za każdą dodatkową osobę </w:t>
      </w:r>
      <w:r w:rsidR="00313439" w:rsidRPr="00313439">
        <w:rPr>
          <w:b/>
          <w:bCs/>
          <w:sz w:val="22"/>
          <w:szCs w:val="22"/>
        </w:rPr>
        <w:t>(jednak nie więcej niż dwie)</w:t>
      </w:r>
      <w:r w:rsidR="00313439" w:rsidRPr="00313439">
        <w:rPr>
          <w:sz w:val="22"/>
          <w:szCs w:val="22"/>
        </w:rPr>
        <w:t xml:space="preserve"> wykazaną na stanowisku Analityka. </w:t>
      </w:r>
    </w:p>
    <w:p w14:paraId="5D83CCF4" w14:textId="718F8E82" w:rsidR="00B339DD" w:rsidRPr="00313439" w:rsidRDefault="006F0CFD" w:rsidP="006F0CF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</w:t>
      </w:r>
      <w:r w:rsidR="00B339DD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</w:t>
      </w:r>
      <w:r w:rsidR="00B339DD" w:rsidRPr="00313439">
        <w:rPr>
          <w:rFonts w:asciiTheme="minorHAnsi" w:hAnsiTheme="minorHAnsi" w:cstheme="minorHAnsi"/>
          <w:sz w:val="22"/>
          <w:szCs w:val="22"/>
        </w:rPr>
        <w:t xml:space="preserve"> §6a ust</w:t>
      </w:r>
      <w:r w:rsidR="00E27ED9" w:rsidRPr="00313439">
        <w:rPr>
          <w:rFonts w:asciiTheme="minorHAnsi" w:hAnsiTheme="minorHAnsi" w:cstheme="minorHAnsi"/>
          <w:sz w:val="22"/>
          <w:szCs w:val="22"/>
        </w:rPr>
        <w:t>.</w:t>
      </w:r>
      <w:r w:rsidR="00B339DD" w:rsidRPr="00313439">
        <w:rPr>
          <w:rFonts w:asciiTheme="minorHAnsi" w:hAnsiTheme="minorHAnsi" w:cstheme="minorHAnsi"/>
          <w:sz w:val="22"/>
          <w:szCs w:val="22"/>
        </w:rPr>
        <w:t xml:space="preserve"> 1 pkt 1.5</w:t>
      </w:r>
      <w:r w:rsidR="00E27ED9" w:rsidRPr="00313439">
        <w:rPr>
          <w:rFonts w:asciiTheme="minorHAnsi" w:hAnsiTheme="minorHAnsi" w:cstheme="minorHAnsi"/>
          <w:sz w:val="22"/>
          <w:szCs w:val="22"/>
        </w:rPr>
        <w:t>:</w:t>
      </w:r>
    </w:p>
    <w:p w14:paraId="79EFCEA7" w14:textId="3EB56D56" w:rsidR="00B339DD" w:rsidRPr="00313439" w:rsidRDefault="00400281" w:rsidP="00B339DD">
      <w:pPr>
        <w:ind w:left="720"/>
        <w:rPr>
          <w:rFonts w:cstheme="minorHAnsi"/>
          <w:b/>
          <w:bCs/>
          <w:lang w:val="pl-PL"/>
        </w:rPr>
      </w:pPr>
      <w:r w:rsidRPr="00313439">
        <w:rPr>
          <w:rFonts w:cstheme="minorHAnsi"/>
          <w:lang w:val="pl-PL"/>
        </w:rPr>
        <w:t>było:</w:t>
      </w:r>
      <w:r w:rsidR="00B339DD" w:rsidRPr="00313439">
        <w:rPr>
          <w:rFonts w:cstheme="minorHAnsi"/>
          <w:lang w:val="pl-PL"/>
        </w:rPr>
        <w:t xml:space="preserve"> </w:t>
      </w:r>
      <w:r w:rsidR="00B339DD" w:rsidRPr="00313439">
        <w:rPr>
          <w:rFonts w:cstheme="minorHAnsi"/>
          <w:lang w:val="pl-PL"/>
        </w:rPr>
        <w:tab/>
      </w:r>
      <w:r w:rsidR="00B339DD" w:rsidRPr="00313439">
        <w:rPr>
          <w:rFonts w:cstheme="minorHAnsi"/>
          <w:lang w:val="pl-PL"/>
        </w:rPr>
        <w:tab/>
        <w:t>1.5.</w:t>
      </w:r>
      <w:r w:rsidR="00B339DD" w:rsidRPr="00313439">
        <w:rPr>
          <w:rFonts w:cstheme="minorHAnsi"/>
          <w:lang w:val="pl-PL"/>
        </w:rPr>
        <w:tab/>
        <w:t xml:space="preserve">analiza wyników testów i usuwanie ujawnionych </w:t>
      </w:r>
      <w:r w:rsidR="00B339DD" w:rsidRPr="00313439">
        <w:rPr>
          <w:rFonts w:cstheme="minorHAnsi"/>
          <w:b/>
          <w:bCs/>
          <w:lang w:val="pl-PL"/>
        </w:rPr>
        <w:t>wad.</w:t>
      </w:r>
    </w:p>
    <w:p w14:paraId="6E4A24EE" w14:textId="6CA6169E" w:rsidR="00BD488E" w:rsidRPr="00313439" w:rsidRDefault="00400281" w:rsidP="00B339DD">
      <w:pPr>
        <w:ind w:left="720"/>
        <w:rPr>
          <w:rFonts w:cstheme="minorHAnsi"/>
          <w:b/>
          <w:bCs/>
          <w:lang w:val="pl-PL"/>
        </w:rPr>
      </w:pPr>
      <w:r w:rsidRPr="00313439">
        <w:rPr>
          <w:rFonts w:cstheme="minorHAnsi"/>
          <w:lang w:val="pl-PL"/>
        </w:rPr>
        <w:t>jest:</w:t>
      </w:r>
      <w:r w:rsidR="00B339DD" w:rsidRPr="00313439">
        <w:rPr>
          <w:rFonts w:cstheme="minorHAnsi"/>
          <w:lang w:val="pl-PL"/>
        </w:rPr>
        <w:t xml:space="preserve"> </w:t>
      </w:r>
      <w:r w:rsidR="00B339DD" w:rsidRPr="00313439">
        <w:rPr>
          <w:rFonts w:cstheme="minorHAnsi"/>
          <w:lang w:val="pl-PL"/>
        </w:rPr>
        <w:tab/>
      </w:r>
      <w:r w:rsidR="00BD488E" w:rsidRPr="00313439">
        <w:rPr>
          <w:rFonts w:cstheme="minorHAnsi"/>
          <w:lang w:val="pl-PL"/>
        </w:rPr>
        <w:t>1.5.</w:t>
      </w:r>
      <w:r w:rsidR="00BD488E" w:rsidRPr="00313439">
        <w:rPr>
          <w:rFonts w:cstheme="minorHAnsi"/>
          <w:lang w:val="pl-PL"/>
        </w:rPr>
        <w:tab/>
        <w:t xml:space="preserve">analiza wyników testów i usuwanie ujawnionych </w:t>
      </w:r>
      <w:r w:rsidR="00BD488E" w:rsidRPr="00313439">
        <w:rPr>
          <w:rFonts w:cstheme="minorHAnsi"/>
          <w:b/>
          <w:bCs/>
          <w:lang w:val="pl-PL"/>
        </w:rPr>
        <w:t>błędów</w:t>
      </w:r>
      <w:r w:rsidR="00B339DD" w:rsidRPr="00313439">
        <w:rPr>
          <w:rFonts w:cstheme="minorHAnsi"/>
          <w:b/>
          <w:bCs/>
          <w:lang w:val="pl-PL"/>
        </w:rPr>
        <w:t>.</w:t>
      </w:r>
    </w:p>
    <w:p w14:paraId="4A19E4D4" w14:textId="5E14CD96" w:rsidR="00BD488E" w:rsidRPr="00313439" w:rsidRDefault="006F0CFD" w:rsidP="00313439">
      <w:pPr>
        <w:pStyle w:val="Akapitzlist"/>
        <w:keepNext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</w:t>
      </w:r>
      <w:r w:rsidR="00B339DD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 </w:t>
      </w:r>
      <w:r w:rsidR="00B339DD" w:rsidRPr="00313439">
        <w:rPr>
          <w:rFonts w:asciiTheme="minorHAnsi" w:hAnsiTheme="minorHAnsi" w:cstheme="minorHAnsi"/>
          <w:sz w:val="22"/>
          <w:szCs w:val="22"/>
        </w:rPr>
        <w:t>§6a ust</w:t>
      </w:r>
      <w:r w:rsidR="00E27ED9" w:rsidRPr="00313439">
        <w:rPr>
          <w:rFonts w:asciiTheme="minorHAnsi" w:hAnsiTheme="minorHAnsi" w:cstheme="minorHAnsi"/>
          <w:sz w:val="22"/>
          <w:szCs w:val="22"/>
        </w:rPr>
        <w:t>.</w:t>
      </w:r>
      <w:r w:rsidR="00B339DD" w:rsidRPr="00313439">
        <w:rPr>
          <w:rFonts w:asciiTheme="minorHAnsi" w:hAnsiTheme="minorHAnsi" w:cstheme="minorHAnsi"/>
          <w:sz w:val="22"/>
          <w:szCs w:val="22"/>
        </w:rPr>
        <w:t xml:space="preserve"> 10</w:t>
      </w:r>
      <w:r w:rsidR="00E27ED9" w:rsidRPr="00313439">
        <w:rPr>
          <w:rFonts w:asciiTheme="minorHAnsi" w:hAnsiTheme="minorHAnsi" w:cstheme="minorHAnsi"/>
          <w:sz w:val="22"/>
          <w:szCs w:val="22"/>
        </w:rPr>
        <w:t>:</w:t>
      </w:r>
    </w:p>
    <w:p w14:paraId="07277F51" w14:textId="467194A7" w:rsidR="00B339DD" w:rsidRPr="00313439" w:rsidRDefault="00400281" w:rsidP="00B339DD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B339DD" w:rsidRPr="00313439">
        <w:rPr>
          <w:rFonts w:cstheme="minorHAnsi"/>
          <w:lang w:val="pl-PL"/>
        </w:rPr>
        <w:t xml:space="preserve"> </w:t>
      </w:r>
      <w:r w:rsidR="00B339DD" w:rsidRPr="00313439">
        <w:rPr>
          <w:rFonts w:cstheme="minorHAnsi"/>
          <w:lang w:val="pl-PL"/>
        </w:rPr>
        <w:tab/>
      </w:r>
      <w:r w:rsidR="00B339DD" w:rsidRPr="00313439">
        <w:rPr>
          <w:rFonts w:ascii="Calibri" w:hAnsi="Calibri" w:cs="Calibri"/>
          <w:lang w:val="pl-PL"/>
        </w:rPr>
        <w:t xml:space="preserve">Jeżeli wyniki testów wykażą, że liczba </w:t>
      </w:r>
      <w:r w:rsidR="00B339DD" w:rsidRPr="00313439">
        <w:rPr>
          <w:rFonts w:ascii="Calibri" w:hAnsi="Calibri" w:cs="Calibri"/>
          <w:color w:val="000000"/>
          <w:lang w:val="pl-PL"/>
        </w:rPr>
        <w:t>błędów</w:t>
      </w:r>
      <w:r w:rsidR="00B339DD" w:rsidRPr="00313439">
        <w:rPr>
          <w:rFonts w:ascii="Calibri" w:hAnsi="Calibri"/>
          <w:color w:val="000000"/>
          <w:lang w:val="pl-PL"/>
        </w:rPr>
        <w:t xml:space="preserve"> </w:t>
      </w:r>
      <w:r w:rsidR="00B339DD" w:rsidRPr="00313439">
        <w:rPr>
          <w:rFonts w:ascii="Calibri" w:hAnsi="Calibri" w:cs="Calibri"/>
          <w:lang w:val="pl-PL"/>
        </w:rPr>
        <w:t xml:space="preserve">nie przekracza poziomu określonego w kryteriach odbioru danego etapu testów wyspecyfikowanych w planie testów, Zamawiający może dokonać Odbioru Warunkowego Produktu poprzez podpisanie Warunkowego Protokołu Odbioru. W razie dokonania Warunkowego Odbioru Produktu, Wykonawca usunie wszystkie stwierdzone </w:t>
      </w:r>
      <w:r w:rsidR="00B339DD" w:rsidRPr="00313439">
        <w:rPr>
          <w:rFonts w:ascii="Calibri" w:hAnsi="Calibri" w:cs="Calibri"/>
          <w:b/>
          <w:bCs/>
          <w:lang w:val="pl-PL"/>
        </w:rPr>
        <w:t>Wady</w:t>
      </w:r>
      <w:r w:rsidR="00B339DD" w:rsidRPr="00313439">
        <w:rPr>
          <w:rFonts w:ascii="Calibri" w:hAnsi="Calibri" w:cs="Calibri"/>
          <w:lang w:val="pl-PL"/>
        </w:rPr>
        <w:t xml:space="preserve"> w terminach wyznaczonych przez Zamawiającego oraz przedstawi Produkt do ponownego Odbioru. Jeżeli w ramach ponownego Odbioru nie zostaną stwierdzone żadne </w:t>
      </w:r>
      <w:r w:rsidR="00B339DD" w:rsidRPr="00313439">
        <w:rPr>
          <w:rFonts w:ascii="Calibri" w:hAnsi="Calibri" w:cs="Calibri"/>
          <w:b/>
          <w:bCs/>
          <w:lang w:val="pl-PL"/>
        </w:rPr>
        <w:t>Wady</w:t>
      </w:r>
      <w:r w:rsidR="00B339DD" w:rsidRPr="00313439">
        <w:rPr>
          <w:rFonts w:ascii="Calibri" w:hAnsi="Calibri" w:cs="Calibri"/>
          <w:lang w:val="pl-PL"/>
        </w:rPr>
        <w:t xml:space="preserve"> Produktu za datę odbioru Produktu uważa się datę podpisania Warunkowego Protokołu Odbioru. Jeżeli w ramach ponownego Odbioru zostaną stwierdzone </w:t>
      </w:r>
      <w:r w:rsidR="00B339DD" w:rsidRPr="00313439">
        <w:rPr>
          <w:rFonts w:ascii="Calibri" w:hAnsi="Calibri" w:cs="Calibri"/>
          <w:b/>
          <w:bCs/>
          <w:lang w:val="pl-PL"/>
        </w:rPr>
        <w:t>Wady</w:t>
      </w:r>
      <w:r w:rsidR="00B339DD" w:rsidRPr="00313439">
        <w:rPr>
          <w:rFonts w:ascii="Calibri" w:hAnsi="Calibri" w:cs="Calibri"/>
          <w:lang w:val="pl-PL"/>
        </w:rPr>
        <w:t xml:space="preserve"> Produktu, Warunkowy Odbiór Produktu nie wywołuje żadnych skutków, a terminem wykonania Produktu będzie termin podpisania bezwarunkowego Protokołu Odbioru przez Zamawiającego.</w:t>
      </w:r>
    </w:p>
    <w:p w14:paraId="51BD3156" w14:textId="40511EB0" w:rsidR="00B339DD" w:rsidRPr="00313439" w:rsidRDefault="00400281" w:rsidP="00B339DD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jest:</w:t>
      </w:r>
      <w:r w:rsidR="00B339DD" w:rsidRPr="00313439">
        <w:rPr>
          <w:rFonts w:cstheme="minorHAnsi"/>
          <w:lang w:val="pl-PL"/>
        </w:rPr>
        <w:t xml:space="preserve"> </w:t>
      </w:r>
      <w:r w:rsidR="00B339DD" w:rsidRPr="00313439">
        <w:rPr>
          <w:rFonts w:cstheme="minorHAnsi"/>
          <w:lang w:val="pl-PL"/>
        </w:rPr>
        <w:tab/>
      </w:r>
      <w:r w:rsidR="00B339DD" w:rsidRPr="00313439">
        <w:rPr>
          <w:rFonts w:ascii="Calibri" w:hAnsi="Calibri" w:cs="Calibri"/>
          <w:lang w:val="pl-PL"/>
        </w:rPr>
        <w:t xml:space="preserve">Jeżeli wyniki testów wykażą, że liczba </w:t>
      </w:r>
      <w:r w:rsidR="00B339DD" w:rsidRPr="00313439">
        <w:rPr>
          <w:rFonts w:ascii="Calibri" w:hAnsi="Calibri" w:cs="Calibri"/>
          <w:color w:val="000000"/>
          <w:lang w:val="pl-PL"/>
        </w:rPr>
        <w:t>błędów</w:t>
      </w:r>
      <w:r w:rsidR="00B339DD" w:rsidRPr="00313439">
        <w:rPr>
          <w:rFonts w:ascii="Calibri" w:hAnsi="Calibri"/>
          <w:color w:val="000000"/>
          <w:lang w:val="pl-PL"/>
        </w:rPr>
        <w:t xml:space="preserve"> </w:t>
      </w:r>
      <w:r w:rsidR="00B339DD" w:rsidRPr="00313439">
        <w:rPr>
          <w:rFonts w:ascii="Calibri" w:hAnsi="Calibri" w:cs="Calibri"/>
          <w:lang w:val="pl-PL"/>
        </w:rPr>
        <w:t xml:space="preserve">nie przekracza poziomu określonego w kryteriach odbioru danego etapu testów wyspecyfikowanych w planie testów, Zamawiający może dokonać Odbioru Warunkowego Produktu poprzez podpisanie Warunkowego Protokołu Odbioru. W razie dokonania Warunkowego Odbioru Produktu, Wykonawca usunie wszystkie stwierdzone </w:t>
      </w:r>
      <w:r w:rsidR="00B339DD" w:rsidRPr="00313439">
        <w:rPr>
          <w:rFonts w:ascii="Calibri" w:hAnsi="Calibri" w:cs="Calibri"/>
          <w:b/>
          <w:bCs/>
          <w:lang w:val="pl-PL"/>
        </w:rPr>
        <w:t>błędy</w:t>
      </w:r>
      <w:r w:rsidR="00B339DD" w:rsidRPr="00313439">
        <w:rPr>
          <w:rFonts w:ascii="Calibri" w:hAnsi="Calibri" w:cs="Calibri"/>
          <w:lang w:val="pl-PL"/>
        </w:rPr>
        <w:t xml:space="preserve"> w terminach wyznaczonych przez Zamawiającego oraz przedstawi Produkt do ponownego Odbioru. Jeżeli w ramach ponownego Odbioru nie zostaną stwierdzone żadne </w:t>
      </w:r>
      <w:r w:rsidR="00B339DD" w:rsidRPr="00313439">
        <w:rPr>
          <w:rFonts w:ascii="Calibri" w:hAnsi="Calibri" w:cs="Calibri"/>
          <w:b/>
          <w:bCs/>
          <w:lang w:val="pl-PL"/>
        </w:rPr>
        <w:t>błędy</w:t>
      </w:r>
      <w:r w:rsidR="00B339DD" w:rsidRPr="00313439">
        <w:rPr>
          <w:rFonts w:ascii="Calibri" w:hAnsi="Calibri" w:cs="Calibri"/>
          <w:lang w:val="pl-PL"/>
        </w:rPr>
        <w:t xml:space="preserve"> Produktu za datę odbioru Produktu uważa się datę podpisania Warunkowego Protokołu Odbioru. Jeżeli w ramach ponownego Odbioru zostaną stwierdzone </w:t>
      </w:r>
      <w:r w:rsidR="00B339DD" w:rsidRPr="00313439">
        <w:rPr>
          <w:rFonts w:ascii="Calibri" w:hAnsi="Calibri" w:cs="Calibri"/>
          <w:b/>
          <w:bCs/>
          <w:lang w:val="pl-PL"/>
        </w:rPr>
        <w:t>błędy</w:t>
      </w:r>
      <w:r w:rsidR="00B339DD" w:rsidRPr="00313439">
        <w:rPr>
          <w:rFonts w:ascii="Calibri" w:hAnsi="Calibri" w:cs="Calibri"/>
          <w:lang w:val="pl-PL"/>
        </w:rPr>
        <w:t xml:space="preserve"> Produktu, Warunkowy Odbiór Produktu nie wywołuje żadnych skutków, a terminem wykonania Produktu będzie termin podpisania bezwarunkowego Protokołu Odbioru przez Zamawiającego.</w:t>
      </w:r>
    </w:p>
    <w:p w14:paraId="43F739B1" w14:textId="6A4D726D" w:rsidR="00BD488E" w:rsidRPr="00313439" w:rsidRDefault="006F0CFD" w:rsidP="00CE0AD9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lastRenderedPageBreak/>
        <w:t xml:space="preserve">Załącznik nr 3a do SIWZ – </w:t>
      </w:r>
      <w:r w:rsidR="00E27ED9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</w:t>
      </w:r>
      <w:r w:rsidR="00E27ED9" w:rsidRPr="00313439">
        <w:rPr>
          <w:rFonts w:asciiTheme="minorHAnsi" w:hAnsiTheme="minorHAnsi" w:cstheme="minorHAnsi"/>
          <w:sz w:val="22"/>
          <w:szCs w:val="22"/>
        </w:rPr>
        <w:t xml:space="preserve"> </w:t>
      </w:r>
      <w:r w:rsidR="00BD488E" w:rsidRPr="00313439">
        <w:rPr>
          <w:rFonts w:cstheme="minorHAnsi"/>
          <w:sz w:val="22"/>
          <w:szCs w:val="22"/>
        </w:rPr>
        <w:t>§</w:t>
      </w:r>
      <w:r w:rsidR="009731AC" w:rsidRPr="00313439">
        <w:rPr>
          <w:rFonts w:cstheme="minorHAnsi"/>
          <w:sz w:val="22"/>
          <w:szCs w:val="22"/>
        </w:rPr>
        <w:t>6b</w:t>
      </w:r>
      <w:r w:rsidR="00CE0AD9" w:rsidRPr="00313439">
        <w:rPr>
          <w:rFonts w:cstheme="minorHAnsi"/>
          <w:sz w:val="22"/>
          <w:szCs w:val="22"/>
        </w:rPr>
        <w:t xml:space="preserve"> ust. 2 pkt 2.6.:</w:t>
      </w:r>
    </w:p>
    <w:p w14:paraId="3E35B3C6" w14:textId="2F2BE307" w:rsidR="00C63BBF" w:rsidRPr="00313439" w:rsidRDefault="00400281" w:rsidP="00CE0AD9">
      <w:pPr>
        <w:pStyle w:val="Akapitzlist"/>
        <w:ind w:left="2126" w:hanging="1406"/>
        <w:contextualSpacing w:val="0"/>
        <w:rPr>
          <w:rFonts w:cs="Calibr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było:</w:t>
      </w:r>
      <w:r w:rsidR="009731AC" w:rsidRPr="00313439">
        <w:rPr>
          <w:rFonts w:cstheme="minorHAnsi"/>
          <w:sz w:val="22"/>
          <w:szCs w:val="22"/>
        </w:rPr>
        <w:tab/>
      </w:r>
      <w:r w:rsidR="00C63BBF" w:rsidRPr="00313439">
        <w:rPr>
          <w:rFonts w:cs="Calibri"/>
          <w:sz w:val="22"/>
          <w:szCs w:val="22"/>
        </w:rPr>
        <w:t>2.6.</w:t>
      </w:r>
      <w:r w:rsidR="00C63BBF" w:rsidRPr="00313439">
        <w:rPr>
          <w:rFonts w:cs="Calibri"/>
          <w:sz w:val="22"/>
          <w:szCs w:val="22"/>
        </w:rPr>
        <w:tab/>
        <w:t xml:space="preserve">Z czynności odbioru spisany będzie protokół odbioru oprogramowania (Załącznik nr 7 do Umowy). Zamawiający może odebrać oprogramowanie bez zastrzeżeń, z zastrzeżeniami bądź odmówić dokonania odbioru do czasu usunięcia </w:t>
      </w:r>
      <w:r w:rsidR="009731AC" w:rsidRPr="00313439">
        <w:rPr>
          <w:rFonts w:cs="Calibri"/>
          <w:b/>
          <w:bCs/>
          <w:sz w:val="22"/>
          <w:szCs w:val="22"/>
        </w:rPr>
        <w:t>wad</w:t>
      </w:r>
      <w:r w:rsidR="00C63BBF" w:rsidRPr="00313439">
        <w:rPr>
          <w:rFonts w:cs="Calibri"/>
          <w:sz w:val="22"/>
          <w:szCs w:val="22"/>
        </w:rPr>
        <w:t>, wyznaczając jednocześnie termin ich usunięcia.</w:t>
      </w:r>
    </w:p>
    <w:p w14:paraId="7811A8A2" w14:textId="117472EC" w:rsidR="009731AC" w:rsidRPr="00313439" w:rsidRDefault="00400281" w:rsidP="00CE0AD9">
      <w:pPr>
        <w:pStyle w:val="Akapitzlist"/>
        <w:ind w:left="2126" w:hanging="1406"/>
        <w:contextualSpacing w:val="0"/>
        <w:rPr>
          <w:rFonts w:cs="Calibri"/>
          <w:sz w:val="22"/>
          <w:szCs w:val="22"/>
        </w:rPr>
      </w:pPr>
      <w:r w:rsidRPr="00313439">
        <w:rPr>
          <w:rFonts w:cs="Calibri"/>
          <w:sz w:val="22"/>
          <w:szCs w:val="22"/>
        </w:rPr>
        <w:t>jest:</w:t>
      </w:r>
      <w:r w:rsidR="009731AC" w:rsidRPr="00313439">
        <w:rPr>
          <w:rFonts w:cs="Calibri"/>
          <w:sz w:val="22"/>
          <w:szCs w:val="22"/>
        </w:rPr>
        <w:tab/>
        <w:t>2.6.</w:t>
      </w:r>
      <w:r w:rsidR="009731AC" w:rsidRPr="00313439">
        <w:rPr>
          <w:rFonts w:cs="Calibri"/>
          <w:sz w:val="22"/>
          <w:szCs w:val="22"/>
        </w:rPr>
        <w:tab/>
        <w:t xml:space="preserve">Z czynności odbioru spisany będzie protokół odbioru oprogramowania (Załącznik nr 7 do Umowy). Zamawiający może odebrać oprogramowanie bez zastrzeżeń, z zastrzeżeniami bądź odmówić dokonania odbioru do czasu usunięcia </w:t>
      </w:r>
      <w:r w:rsidR="009731AC" w:rsidRPr="00313439">
        <w:rPr>
          <w:rFonts w:cs="Calibri"/>
          <w:b/>
          <w:bCs/>
          <w:sz w:val="22"/>
          <w:szCs w:val="22"/>
        </w:rPr>
        <w:t>błędów</w:t>
      </w:r>
      <w:r w:rsidR="009731AC" w:rsidRPr="00313439">
        <w:rPr>
          <w:rFonts w:cs="Calibri"/>
          <w:sz w:val="22"/>
          <w:szCs w:val="22"/>
        </w:rPr>
        <w:t>, wyznaczając jednocześnie termin ich usunięcia.</w:t>
      </w:r>
    </w:p>
    <w:p w14:paraId="0476E5A2" w14:textId="42FAAEC4" w:rsidR="00CE0AD9" w:rsidRPr="00313439" w:rsidRDefault="00CE0AD9" w:rsidP="00CE0AD9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IPU (część 1.) </w:t>
      </w:r>
      <w:r w:rsidRPr="00313439">
        <w:rPr>
          <w:rFonts w:cstheme="minorHAnsi"/>
          <w:sz w:val="22"/>
          <w:szCs w:val="22"/>
        </w:rPr>
        <w:t>§6b ust. 2 pkt 2.7.:</w:t>
      </w:r>
    </w:p>
    <w:p w14:paraId="59B7129F" w14:textId="479860FA" w:rsidR="00C63BBF" w:rsidRPr="00313439" w:rsidRDefault="00400281" w:rsidP="00CE0AD9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było:</w:t>
      </w:r>
      <w:r w:rsidR="009731AC" w:rsidRPr="00313439">
        <w:rPr>
          <w:rFonts w:cstheme="minorHAnsi"/>
          <w:sz w:val="22"/>
          <w:szCs w:val="22"/>
        </w:rPr>
        <w:tab/>
      </w:r>
      <w:r w:rsidR="00C63BBF" w:rsidRPr="00313439">
        <w:rPr>
          <w:rFonts w:cs="Calibri"/>
          <w:sz w:val="22"/>
          <w:szCs w:val="22"/>
        </w:rPr>
        <w:t>2.7.</w:t>
      </w:r>
      <w:r w:rsidR="00C63BBF" w:rsidRPr="00313439">
        <w:rPr>
          <w:rFonts w:cs="Calibri"/>
          <w:sz w:val="22"/>
          <w:szCs w:val="22"/>
        </w:rPr>
        <w:tab/>
        <w:t xml:space="preserve">Wykonawca zobowiązany jest do usunięcia </w:t>
      </w:r>
      <w:r w:rsidR="009731AC" w:rsidRPr="00313439">
        <w:rPr>
          <w:rFonts w:cs="Calibri"/>
          <w:b/>
          <w:bCs/>
          <w:sz w:val="22"/>
          <w:szCs w:val="22"/>
        </w:rPr>
        <w:t>wad</w:t>
      </w:r>
      <w:r w:rsidR="00C63BBF" w:rsidRPr="00313439">
        <w:rPr>
          <w:rFonts w:cs="Calibri"/>
          <w:sz w:val="22"/>
          <w:szCs w:val="22"/>
        </w:rPr>
        <w:t xml:space="preserve"> wskazanych w protokole odbioru oprogramowania w terminie wyznaczonym przez Zamawiającego, po usunięciu </w:t>
      </w:r>
      <w:r w:rsidR="009731AC" w:rsidRPr="00313439">
        <w:rPr>
          <w:rFonts w:cs="Calibri"/>
          <w:b/>
          <w:bCs/>
          <w:sz w:val="22"/>
          <w:szCs w:val="22"/>
        </w:rPr>
        <w:t>wad</w:t>
      </w:r>
      <w:r w:rsidR="00C63BBF" w:rsidRPr="00313439">
        <w:rPr>
          <w:rFonts w:cs="Calibri"/>
          <w:sz w:val="22"/>
          <w:szCs w:val="22"/>
        </w:rPr>
        <w:t xml:space="preserve"> punkty od 2.3 do 2.6 stosuje się odpowiednio. Jeżeli powoduje to opóźnienia Zamawiający ma prawo naliczyć stosowne kary umowne.</w:t>
      </w:r>
    </w:p>
    <w:p w14:paraId="7D7BEE3F" w14:textId="5A99F8EB" w:rsidR="009731AC" w:rsidRPr="00313439" w:rsidRDefault="00400281" w:rsidP="00CE0AD9">
      <w:pPr>
        <w:pStyle w:val="Akapitzlist"/>
        <w:ind w:left="2126" w:hanging="1406"/>
        <w:contextualSpacing w:val="0"/>
        <w:rPr>
          <w:rFonts w:cs="Calibr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jest:</w:t>
      </w:r>
      <w:r w:rsidR="009731AC" w:rsidRPr="00313439">
        <w:rPr>
          <w:rFonts w:cstheme="minorHAnsi"/>
          <w:sz w:val="22"/>
          <w:szCs w:val="22"/>
        </w:rPr>
        <w:tab/>
      </w:r>
      <w:r w:rsidR="009731AC" w:rsidRPr="00313439">
        <w:rPr>
          <w:rFonts w:cs="Calibri"/>
          <w:sz w:val="22"/>
          <w:szCs w:val="22"/>
        </w:rPr>
        <w:t>2.7.</w:t>
      </w:r>
      <w:r w:rsidR="009731AC" w:rsidRPr="00313439">
        <w:rPr>
          <w:rFonts w:cs="Calibri"/>
          <w:sz w:val="22"/>
          <w:szCs w:val="22"/>
        </w:rPr>
        <w:tab/>
        <w:t xml:space="preserve">Wykonawca zobowiązany jest do usunięcia </w:t>
      </w:r>
      <w:r w:rsidR="009731AC" w:rsidRPr="00313439">
        <w:rPr>
          <w:rFonts w:cs="Calibri"/>
          <w:b/>
          <w:bCs/>
          <w:sz w:val="22"/>
          <w:szCs w:val="22"/>
        </w:rPr>
        <w:t>błędów</w:t>
      </w:r>
      <w:r w:rsidR="009731AC" w:rsidRPr="00313439">
        <w:rPr>
          <w:rFonts w:cs="Calibri"/>
          <w:sz w:val="22"/>
          <w:szCs w:val="22"/>
        </w:rPr>
        <w:t xml:space="preserve">  wskazanych w protokole odbioru oprogramowania w terminie wyznaczonym przez Zamawiającego, po usunięciu </w:t>
      </w:r>
      <w:r w:rsidR="009731AC" w:rsidRPr="00313439">
        <w:rPr>
          <w:rFonts w:cs="Calibri"/>
          <w:b/>
          <w:bCs/>
          <w:sz w:val="22"/>
          <w:szCs w:val="22"/>
        </w:rPr>
        <w:t>błędów</w:t>
      </w:r>
      <w:r w:rsidR="009731AC" w:rsidRPr="00313439">
        <w:rPr>
          <w:rFonts w:cs="Calibri"/>
          <w:sz w:val="22"/>
          <w:szCs w:val="22"/>
        </w:rPr>
        <w:t xml:space="preserve"> punkty od 2.3 do 2.6 stosuje się odpowiednio. Jeżeli powoduje to opóźnienia Zamawiający ma prawo naliczyć stosowne kary umowne.</w:t>
      </w:r>
    </w:p>
    <w:p w14:paraId="657B7081" w14:textId="261E4D88" w:rsidR="00CE0AD9" w:rsidRPr="00313439" w:rsidRDefault="00CE0AD9" w:rsidP="00CE0AD9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IPU (część 1.) </w:t>
      </w:r>
      <w:r w:rsidR="007D356D" w:rsidRPr="00313439">
        <w:rPr>
          <w:rFonts w:cstheme="minorHAnsi"/>
          <w:sz w:val="22"/>
          <w:szCs w:val="22"/>
        </w:rPr>
        <w:t>§6b ust. 2 pkt 5.6</w:t>
      </w:r>
      <w:r w:rsidRPr="00313439">
        <w:rPr>
          <w:rFonts w:cstheme="minorHAnsi"/>
          <w:sz w:val="22"/>
          <w:szCs w:val="22"/>
        </w:rPr>
        <w:t>.:</w:t>
      </w:r>
    </w:p>
    <w:p w14:paraId="3A42D11D" w14:textId="4C4618BE" w:rsidR="009731AC" w:rsidRPr="00313439" w:rsidRDefault="00400281" w:rsidP="00CE0AD9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było:</w:t>
      </w:r>
      <w:r w:rsidR="00CE0AD9" w:rsidRPr="00313439">
        <w:rPr>
          <w:rFonts w:cstheme="minorHAnsi"/>
          <w:sz w:val="22"/>
          <w:szCs w:val="22"/>
        </w:rPr>
        <w:tab/>
      </w:r>
      <w:r w:rsidR="00D714AE" w:rsidRPr="00313439">
        <w:rPr>
          <w:rFonts w:cstheme="minorHAnsi"/>
          <w:sz w:val="22"/>
          <w:szCs w:val="22"/>
        </w:rPr>
        <w:t>5</w:t>
      </w:r>
      <w:r w:rsidR="009731AC" w:rsidRPr="00313439">
        <w:rPr>
          <w:rFonts w:cstheme="minorHAnsi"/>
          <w:sz w:val="22"/>
          <w:szCs w:val="22"/>
        </w:rPr>
        <w:t>.6.</w:t>
      </w:r>
      <w:r w:rsidR="009731AC" w:rsidRPr="00313439">
        <w:rPr>
          <w:rFonts w:cstheme="minorHAnsi"/>
          <w:sz w:val="22"/>
          <w:szCs w:val="22"/>
        </w:rPr>
        <w:tab/>
        <w:t xml:space="preserve">W ciągu 10 (słownie: dziesięciu) dni roboczych Zamawiający zakończy kontrolę w ramach odbioru etapu/końcowego, zawiadamiając o  tym Wykonawcę. Z czynności odbioru spisany będzie protokół kontroli wg Załącznika nr 3 do Umowy, zawierający wszelkie ustalenia dokonane w toku kontroli. Zamawiający może odebrać przedmiot Umowy bez zastrzeżeń w protokole kontroli lub wnieść zastrzeżenia odmawiając dokonania odbioru do czasu usunięcia </w:t>
      </w:r>
      <w:r w:rsidR="009731AC" w:rsidRPr="00313439">
        <w:rPr>
          <w:rFonts w:cstheme="minorHAnsi"/>
          <w:b/>
          <w:bCs/>
          <w:sz w:val="22"/>
          <w:szCs w:val="22"/>
        </w:rPr>
        <w:t>błędów</w:t>
      </w:r>
      <w:r w:rsidR="009731AC" w:rsidRPr="00313439">
        <w:rPr>
          <w:rFonts w:cstheme="minorHAnsi"/>
          <w:sz w:val="22"/>
          <w:szCs w:val="22"/>
        </w:rPr>
        <w:t>, wyznaczając jednocześnie termin ich usunięcia.</w:t>
      </w:r>
    </w:p>
    <w:p w14:paraId="14384F2D" w14:textId="7604032A" w:rsidR="00CE0AD9" w:rsidRPr="00313439" w:rsidRDefault="00400281" w:rsidP="00CE0AD9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jest:</w:t>
      </w:r>
      <w:r w:rsidR="00CE0AD9" w:rsidRPr="00313439">
        <w:rPr>
          <w:rFonts w:cstheme="minorHAnsi"/>
          <w:sz w:val="22"/>
          <w:szCs w:val="22"/>
        </w:rPr>
        <w:tab/>
        <w:t>5.6.</w:t>
      </w:r>
      <w:r w:rsidR="00CE0AD9" w:rsidRPr="00313439">
        <w:rPr>
          <w:rFonts w:cstheme="minorHAnsi"/>
          <w:sz w:val="22"/>
          <w:szCs w:val="22"/>
        </w:rPr>
        <w:tab/>
        <w:t xml:space="preserve">W ciągu 10 (słownie: dziesięciu) dni roboczych Zamawiający zakończy kontrolę w ramach odbioru etapu/końcowego, zawiadamiając o  tym Wykonawcę. Z czynności odbioru spisany będzie protokół kontroli wg Załącznika nr 3 do Umowy, zawierający wszelkie ustalenia dokonane w toku kontroli. Zamawiający może odebrać przedmiot Umowy bez zastrzeżeń w protokole </w:t>
      </w:r>
      <w:r w:rsidR="00CE0AD9" w:rsidRPr="00313439">
        <w:rPr>
          <w:rFonts w:cstheme="minorHAnsi"/>
          <w:sz w:val="22"/>
          <w:szCs w:val="22"/>
        </w:rPr>
        <w:lastRenderedPageBreak/>
        <w:t xml:space="preserve">kontroli lub wnieść zastrzeżenia odmawiając dokonania odbioru do czasu usunięcia </w:t>
      </w:r>
      <w:r w:rsidR="00CE0AD9" w:rsidRPr="00313439">
        <w:rPr>
          <w:rFonts w:cstheme="minorHAnsi"/>
          <w:b/>
          <w:bCs/>
          <w:sz w:val="22"/>
          <w:szCs w:val="22"/>
        </w:rPr>
        <w:t>wad i błędów</w:t>
      </w:r>
      <w:r w:rsidR="00CE0AD9" w:rsidRPr="00313439">
        <w:rPr>
          <w:rFonts w:cstheme="minorHAnsi"/>
          <w:sz w:val="22"/>
          <w:szCs w:val="22"/>
        </w:rPr>
        <w:t>, wyznaczając jednocześnie termin ich usunięcia.</w:t>
      </w:r>
    </w:p>
    <w:p w14:paraId="55260DA1" w14:textId="68B7883E" w:rsidR="00CE0AD9" w:rsidRPr="00313439" w:rsidRDefault="00CE0AD9" w:rsidP="00CE0AD9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IPU (część 1.) </w:t>
      </w:r>
      <w:r w:rsidRPr="00313439">
        <w:rPr>
          <w:rFonts w:cstheme="minorHAnsi"/>
          <w:sz w:val="22"/>
          <w:szCs w:val="22"/>
        </w:rPr>
        <w:t>§11 ust. 9 pkt 9.16.:</w:t>
      </w:r>
    </w:p>
    <w:p w14:paraId="79E5EE93" w14:textId="28C6D34F" w:rsidR="00570D68" w:rsidRPr="00313439" w:rsidRDefault="00400281" w:rsidP="00D00461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było:</w:t>
      </w:r>
      <w:r w:rsidR="00CE0AD9" w:rsidRPr="00313439">
        <w:rPr>
          <w:rFonts w:cstheme="minorHAnsi"/>
          <w:sz w:val="22"/>
          <w:szCs w:val="22"/>
        </w:rPr>
        <w:tab/>
        <w:t>9.16.</w:t>
      </w:r>
      <w:r w:rsidR="00CE0AD9" w:rsidRPr="00313439">
        <w:rPr>
          <w:rFonts w:cstheme="minorHAnsi"/>
          <w:sz w:val="22"/>
          <w:szCs w:val="22"/>
        </w:rPr>
        <w:tab/>
      </w:r>
      <w:r w:rsidR="00570D68" w:rsidRPr="00313439">
        <w:rPr>
          <w:rFonts w:cstheme="minorHAnsi"/>
          <w:sz w:val="22"/>
          <w:szCs w:val="22"/>
        </w:rPr>
        <w:t xml:space="preserve">W przypadku skorzystania przez Zamawiającego z tzw. wykonania zastępczego w oparciu o przepisy art. 480 Kodeksu cywilnego, gwarancja nie obejmuje </w:t>
      </w:r>
      <w:r w:rsidR="00570D68" w:rsidRPr="00313439">
        <w:rPr>
          <w:rFonts w:cstheme="minorHAnsi"/>
          <w:b/>
          <w:bCs/>
          <w:sz w:val="22"/>
          <w:szCs w:val="22"/>
        </w:rPr>
        <w:t>błędów</w:t>
      </w:r>
      <w:r w:rsidR="00570D68" w:rsidRPr="00313439">
        <w:rPr>
          <w:rFonts w:cstheme="minorHAnsi"/>
          <w:sz w:val="22"/>
          <w:szCs w:val="22"/>
        </w:rPr>
        <w:t xml:space="preserve"> SIPWW, które zostały spowodowane jego modyfikacją przez osoby trzecie. Ciężar dowodu, że ewentualne </w:t>
      </w:r>
      <w:r w:rsidR="00570D68" w:rsidRPr="00313439">
        <w:rPr>
          <w:rFonts w:cstheme="minorHAnsi"/>
          <w:b/>
          <w:bCs/>
          <w:sz w:val="22"/>
          <w:szCs w:val="22"/>
        </w:rPr>
        <w:t>wady</w:t>
      </w:r>
      <w:r w:rsidR="00570D68" w:rsidRPr="00313439">
        <w:rPr>
          <w:rFonts w:cstheme="minorHAnsi"/>
          <w:sz w:val="22"/>
          <w:szCs w:val="22"/>
        </w:rPr>
        <w:t xml:space="preserve"> SIPWW zostały spowodowane jego modyfikacją przez osoby trzecie spoczywa na Wykonawcy.</w:t>
      </w:r>
    </w:p>
    <w:p w14:paraId="284B9819" w14:textId="29302B2B" w:rsidR="00CE0AD9" w:rsidRPr="00313439" w:rsidRDefault="00400281" w:rsidP="00CE0AD9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jest:</w:t>
      </w:r>
      <w:r w:rsidR="00CE0AD9" w:rsidRPr="00313439">
        <w:rPr>
          <w:rFonts w:cstheme="minorHAnsi"/>
          <w:sz w:val="22"/>
          <w:szCs w:val="22"/>
        </w:rPr>
        <w:tab/>
        <w:t>9.16.</w:t>
      </w:r>
      <w:r w:rsidR="00CE0AD9" w:rsidRPr="00313439">
        <w:rPr>
          <w:rFonts w:cstheme="minorHAnsi"/>
          <w:sz w:val="22"/>
          <w:szCs w:val="22"/>
        </w:rPr>
        <w:tab/>
        <w:t xml:space="preserve">W przypadku skorzystania przez Zamawiającego z tzw. wykonania zastępczego w oparciu o przepisy art. 480 Kodeksu cywilnego, gwarancja nie obejmuje </w:t>
      </w:r>
      <w:r w:rsidR="00CE0AD9" w:rsidRPr="00313439">
        <w:rPr>
          <w:rFonts w:cstheme="minorHAnsi"/>
          <w:b/>
          <w:bCs/>
          <w:sz w:val="22"/>
          <w:szCs w:val="22"/>
        </w:rPr>
        <w:t>wad i błędów</w:t>
      </w:r>
      <w:r w:rsidR="00CE0AD9" w:rsidRPr="00313439">
        <w:rPr>
          <w:rFonts w:cstheme="minorHAnsi"/>
          <w:sz w:val="22"/>
          <w:szCs w:val="22"/>
        </w:rPr>
        <w:t xml:space="preserve"> SIPWW, które zostały spowodowane jego modyfikacją przez osoby trzecie. Ciężar dowodu, że ewentualne </w:t>
      </w:r>
      <w:r w:rsidR="00CE0AD9" w:rsidRPr="00313439">
        <w:rPr>
          <w:rFonts w:cstheme="minorHAnsi"/>
          <w:b/>
          <w:bCs/>
          <w:sz w:val="22"/>
          <w:szCs w:val="22"/>
        </w:rPr>
        <w:t>wady lub błędy</w:t>
      </w:r>
      <w:r w:rsidR="00CE0AD9" w:rsidRPr="00313439">
        <w:rPr>
          <w:rFonts w:cstheme="minorHAnsi"/>
          <w:sz w:val="22"/>
          <w:szCs w:val="22"/>
        </w:rPr>
        <w:t xml:space="preserve"> SIPWW zostały spowodowane jego modyfikacją przez osoby trzecie spoczywa na Wykonawcy.</w:t>
      </w:r>
    </w:p>
    <w:p w14:paraId="39F27DC8" w14:textId="5BA80729" w:rsidR="00CE0AD9" w:rsidRPr="00313439" w:rsidRDefault="00CE0AD9" w:rsidP="00CE0AD9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IPU (część 1.) </w:t>
      </w:r>
      <w:r w:rsidRPr="00313439">
        <w:rPr>
          <w:rFonts w:cstheme="minorHAnsi"/>
          <w:sz w:val="22"/>
          <w:szCs w:val="22"/>
        </w:rPr>
        <w:t>§11 ust. 9 pkt 9.26.3.:</w:t>
      </w:r>
    </w:p>
    <w:p w14:paraId="6A6B3AC7" w14:textId="556759F9" w:rsidR="00CE0AD9" w:rsidRPr="00313439" w:rsidRDefault="00400281" w:rsidP="00D00461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było:</w:t>
      </w:r>
      <w:r w:rsidR="00CE0AD9" w:rsidRPr="00313439">
        <w:rPr>
          <w:rFonts w:cstheme="minorHAnsi"/>
          <w:sz w:val="22"/>
          <w:szCs w:val="22"/>
        </w:rPr>
        <w:tab/>
        <w:t>9.</w:t>
      </w:r>
      <w:r w:rsidR="00D00461" w:rsidRPr="00313439">
        <w:rPr>
          <w:rFonts w:cstheme="minorHAnsi"/>
          <w:sz w:val="22"/>
          <w:szCs w:val="22"/>
        </w:rPr>
        <w:t>2</w:t>
      </w:r>
      <w:r w:rsidR="00CE0AD9" w:rsidRPr="00313439">
        <w:rPr>
          <w:rFonts w:cstheme="minorHAnsi"/>
          <w:sz w:val="22"/>
          <w:szCs w:val="22"/>
        </w:rPr>
        <w:t>6.</w:t>
      </w:r>
      <w:r w:rsidR="00D00461" w:rsidRPr="00313439">
        <w:rPr>
          <w:rFonts w:cstheme="minorHAnsi"/>
          <w:sz w:val="22"/>
          <w:szCs w:val="22"/>
        </w:rPr>
        <w:t>3</w:t>
      </w:r>
      <w:r w:rsidR="00CE0AD9" w:rsidRPr="00313439">
        <w:rPr>
          <w:rFonts w:cstheme="minorHAnsi"/>
          <w:sz w:val="22"/>
          <w:szCs w:val="22"/>
        </w:rPr>
        <w:tab/>
      </w:r>
      <w:bookmarkStart w:id="0" w:name="_Ref491216397"/>
      <w:r w:rsidR="00D00461" w:rsidRPr="00313439">
        <w:rPr>
          <w:rFonts w:cs="Calibri"/>
          <w:sz w:val="22"/>
          <w:szCs w:val="22"/>
        </w:rPr>
        <w:t xml:space="preserve">bezpłatnym dostarczeniu, a po uzgodnieniu z Zamawiającym także instalacji i konfiguracji niezbędnych lub celowych aktualizacji lub poprawek (w tym tzw. łat programowych - ang. „patch”) oprogramowania dedykowanego SIPWW wytworzonego przez Wykonawcę, wraz z przekazaniem kompletnej dokumentacji poprawek, instrukcji instalacji, instrukcji użytkowania i kodów źródłowych. Podstawą do wdrażania wyżej wymienionych poprawek będzie niezgodne z wymaganiami SIWZ funkcjonowanie oprogramowania dedykowanego wynikające z ukrytych </w:t>
      </w:r>
      <w:r w:rsidR="00D00461" w:rsidRPr="00313439">
        <w:rPr>
          <w:rFonts w:cs="Calibri"/>
          <w:b/>
          <w:bCs/>
          <w:sz w:val="22"/>
          <w:szCs w:val="22"/>
        </w:rPr>
        <w:t>wad</w:t>
      </w:r>
      <w:r w:rsidR="00D00461" w:rsidRPr="00313439">
        <w:rPr>
          <w:rFonts w:cs="Calibri"/>
          <w:sz w:val="22"/>
          <w:szCs w:val="22"/>
        </w:rPr>
        <w:t xml:space="preserve"> (nie stwierdzonych na etapie odbiorów) bądź zmian powstałych na skutek przeprowadzenia niezbędnych lub celowych poprawek oprogramowania podstawowego i gotowego, o których mowa w pkt </w:t>
      </w:r>
      <w:r w:rsidR="00D00461" w:rsidRPr="00313439">
        <w:rPr>
          <w:rFonts w:cs="Calibri"/>
          <w:sz w:val="22"/>
          <w:szCs w:val="22"/>
        </w:rPr>
        <w:fldChar w:fldCharType="begin"/>
      </w:r>
      <w:r w:rsidR="00D00461" w:rsidRPr="00313439">
        <w:rPr>
          <w:rFonts w:cs="Calibri"/>
          <w:sz w:val="22"/>
          <w:szCs w:val="22"/>
        </w:rPr>
        <w:instrText xml:space="preserve"> REF _Ref491216378 \r \h  \* MERGEFORMAT </w:instrText>
      </w:r>
      <w:r w:rsidR="00D00461" w:rsidRPr="00313439">
        <w:rPr>
          <w:rFonts w:cs="Calibri"/>
          <w:sz w:val="22"/>
          <w:szCs w:val="22"/>
        </w:rPr>
      </w:r>
      <w:r w:rsidR="00D00461" w:rsidRPr="00313439">
        <w:rPr>
          <w:rFonts w:cs="Calibri"/>
          <w:sz w:val="22"/>
          <w:szCs w:val="22"/>
        </w:rPr>
        <w:fldChar w:fldCharType="separate"/>
      </w:r>
      <w:r w:rsidR="00D00461" w:rsidRPr="00313439">
        <w:rPr>
          <w:rFonts w:cs="Calibri"/>
          <w:sz w:val="22"/>
          <w:szCs w:val="22"/>
        </w:rPr>
        <w:t>9.26.1</w:t>
      </w:r>
      <w:r w:rsidR="00D00461" w:rsidRPr="00313439">
        <w:rPr>
          <w:rFonts w:cs="Calibri"/>
          <w:sz w:val="22"/>
          <w:szCs w:val="22"/>
        </w:rPr>
        <w:fldChar w:fldCharType="end"/>
      </w:r>
      <w:r w:rsidR="00D00461" w:rsidRPr="00313439">
        <w:rPr>
          <w:rFonts w:cs="Calibri"/>
          <w:sz w:val="22"/>
          <w:szCs w:val="22"/>
        </w:rPr>
        <w:t>,</w:t>
      </w:r>
      <w:bookmarkEnd w:id="0"/>
    </w:p>
    <w:p w14:paraId="17C6385E" w14:textId="495DA7D7" w:rsidR="00D00461" w:rsidRPr="00313439" w:rsidRDefault="00400281" w:rsidP="00D00461">
      <w:pPr>
        <w:pStyle w:val="Akapitzlist"/>
        <w:ind w:left="2126" w:hanging="1406"/>
        <w:contextualSpacing w:val="0"/>
        <w:rPr>
          <w:rFonts w:cstheme="minorHAnsi"/>
          <w:sz w:val="22"/>
          <w:szCs w:val="22"/>
        </w:rPr>
      </w:pPr>
      <w:r w:rsidRPr="00313439">
        <w:rPr>
          <w:rFonts w:cstheme="minorHAnsi"/>
          <w:sz w:val="22"/>
          <w:szCs w:val="22"/>
        </w:rPr>
        <w:t>jest:</w:t>
      </w:r>
      <w:r w:rsidR="00D00461" w:rsidRPr="00313439">
        <w:rPr>
          <w:rFonts w:cstheme="minorHAnsi"/>
          <w:sz w:val="22"/>
          <w:szCs w:val="22"/>
        </w:rPr>
        <w:tab/>
        <w:t>9.26.3</w:t>
      </w:r>
      <w:r w:rsidR="00D00461" w:rsidRPr="00313439">
        <w:rPr>
          <w:rFonts w:cstheme="minorHAnsi"/>
          <w:sz w:val="22"/>
          <w:szCs w:val="22"/>
        </w:rPr>
        <w:tab/>
      </w:r>
      <w:r w:rsidR="00D00461" w:rsidRPr="00313439">
        <w:rPr>
          <w:rFonts w:cs="Calibri"/>
          <w:sz w:val="22"/>
          <w:szCs w:val="22"/>
        </w:rPr>
        <w:t xml:space="preserve">bezpłatnym dostarczeniu, a po uzgodnieniu z Zamawiającym także instalacji i konfiguracji niezbędnych lub celowych aktualizacji lub poprawek (w tym tzw. łat programowych - ang. „patch”) oprogramowania dedykowanego SIPWW wytworzonego przez Wykonawcę, wraz z przekazaniem kompletnej dokumentacji poprawek, instrukcji instalacji, instrukcji użytkowania i kodów źródłowych. Podstawą do wdrażania wyżej wymienionych poprawek będzie niezgodne z wymaganiami SIWZ funkcjonowanie oprogramowania dedykowanego wynikające z ukrytych </w:t>
      </w:r>
      <w:r w:rsidR="00D00461" w:rsidRPr="00313439">
        <w:rPr>
          <w:rFonts w:cs="Calibri"/>
          <w:b/>
          <w:bCs/>
          <w:sz w:val="22"/>
          <w:szCs w:val="22"/>
        </w:rPr>
        <w:t>błędów</w:t>
      </w:r>
      <w:r w:rsidR="00D00461" w:rsidRPr="00313439">
        <w:rPr>
          <w:rFonts w:cs="Calibri"/>
          <w:sz w:val="22"/>
          <w:szCs w:val="22"/>
        </w:rPr>
        <w:t xml:space="preserve"> (nie stwierdzonych na etapie </w:t>
      </w:r>
      <w:r w:rsidR="00D00461" w:rsidRPr="00313439">
        <w:rPr>
          <w:rFonts w:cs="Calibri"/>
          <w:sz w:val="22"/>
          <w:szCs w:val="22"/>
        </w:rPr>
        <w:lastRenderedPageBreak/>
        <w:t xml:space="preserve">odbiorów) bądź zmian powstałych na skutek przeprowadzenia niezbędnych lub celowych poprawek oprogramowania podstawowego i gotowego, o których mowa w pkt </w:t>
      </w:r>
      <w:r w:rsidR="00D00461" w:rsidRPr="00313439">
        <w:rPr>
          <w:rFonts w:cs="Calibri"/>
          <w:sz w:val="22"/>
          <w:szCs w:val="22"/>
        </w:rPr>
        <w:fldChar w:fldCharType="begin"/>
      </w:r>
      <w:r w:rsidR="00D00461" w:rsidRPr="00313439">
        <w:rPr>
          <w:rFonts w:cs="Calibri"/>
          <w:sz w:val="22"/>
          <w:szCs w:val="22"/>
        </w:rPr>
        <w:instrText xml:space="preserve"> REF _Ref491216378 \r \h  \* MERGEFORMAT </w:instrText>
      </w:r>
      <w:r w:rsidR="00D00461" w:rsidRPr="00313439">
        <w:rPr>
          <w:rFonts w:cs="Calibri"/>
          <w:sz w:val="22"/>
          <w:szCs w:val="22"/>
        </w:rPr>
      </w:r>
      <w:r w:rsidR="00D00461" w:rsidRPr="00313439">
        <w:rPr>
          <w:rFonts w:cs="Calibri"/>
          <w:sz w:val="22"/>
          <w:szCs w:val="22"/>
        </w:rPr>
        <w:fldChar w:fldCharType="separate"/>
      </w:r>
      <w:r w:rsidR="00D00461" w:rsidRPr="00313439">
        <w:rPr>
          <w:rFonts w:cs="Calibri"/>
          <w:sz w:val="22"/>
          <w:szCs w:val="22"/>
        </w:rPr>
        <w:t>9.26.1</w:t>
      </w:r>
      <w:r w:rsidR="00D00461" w:rsidRPr="00313439">
        <w:rPr>
          <w:rFonts w:cs="Calibri"/>
          <w:sz w:val="22"/>
          <w:szCs w:val="22"/>
        </w:rPr>
        <w:fldChar w:fldCharType="end"/>
      </w:r>
      <w:r w:rsidR="00D00461" w:rsidRPr="00313439">
        <w:rPr>
          <w:rFonts w:cs="Calibri"/>
          <w:sz w:val="22"/>
          <w:szCs w:val="22"/>
        </w:rPr>
        <w:t>,</w:t>
      </w:r>
    </w:p>
    <w:p w14:paraId="67575BA0" w14:textId="77777777" w:rsidR="00570D68" w:rsidRPr="00313439" w:rsidRDefault="00570D68" w:rsidP="00C63BBF">
      <w:pPr>
        <w:pStyle w:val="Akapitzlist"/>
        <w:rPr>
          <w:rFonts w:cstheme="minorHAnsi"/>
          <w:sz w:val="22"/>
          <w:szCs w:val="22"/>
          <w:highlight w:val="yellow"/>
        </w:rPr>
      </w:pPr>
    </w:p>
    <w:p w14:paraId="4DB15B0E" w14:textId="66FD2F09" w:rsidR="004022AA" w:rsidRPr="00313439" w:rsidRDefault="006F0CFD" w:rsidP="00085047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</w:t>
      </w:r>
      <w:r w:rsidR="00E27ED9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</w:t>
      </w:r>
      <w:r w:rsidR="00E27ED9" w:rsidRPr="00313439">
        <w:rPr>
          <w:rFonts w:asciiTheme="minorHAnsi" w:hAnsiTheme="minorHAnsi" w:cstheme="minorHAnsi"/>
          <w:sz w:val="22"/>
          <w:szCs w:val="22"/>
        </w:rPr>
        <w:t xml:space="preserve"> </w:t>
      </w:r>
      <w:r w:rsidR="00BD488E" w:rsidRPr="00313439">
        <w:rPr>
          <w:rFonts w:cstheme="minorHAnsi"/>
          <w:sz w:val="22"/>
          <w:szCs w:val="22"/>
        </w:rPr>
        <w:t xml:space="preserve">§11 </w:t>
      </w:r>
      <w:r w:rsidR="00E27ED9" w:rsidRPr="00313439">
        <w:rPr>
          <w:rFonts w:cstheme="minorHAnsi"/>
          <w:sz w:val="22"/>
          <w:szCs w:val="22"/>
        </w:rPr>
        <w:t>u</w:t>
      </w:r>
      <w:r w:rsidR="00BD488E" w:rsidRPr="00313439">
        <w:rPr>
          <w:rFonts w:cstheme="minorHAnsi"/>
          <w:sz w:val="22"/>
          <w:szCs w:val="22"/>
        </w:rPr>
        <w:t>st.</w:t>
      </w:r>
      <w:r w:rsidR="00E27ED9" w:rsidRPr="00313439">
        <w:rPr>
          <w:rFonts w:cstheme="minorHAnsi"/>
          <w:sz w:val="22"/>
          <w:szCs w:val="22"/>
        </w:rPr>
        <w:t xml:space="preserve"> </w:t>
      </w:r>
      <w:r w:rsidR="00BD488E" w:rsidRPr="00313439">
        <w:rPr>
          <w:rFonts w:cstheme="minorHAnsi"/>
          <w:sz w:val="22"/>
          <w:szCs w:val="22"/>
        </w:rPr>
        <w:t xml:space="preserve">9 pkt </w:t>
      </w:r>
      <w:r w:rsidR="004022AA" w:rsidRPr="00313439">
        <w:rPr>
          <w:rFonts w:cstheme="minorHAnsi"/>
          <w:sz w:val="22"/>
          <w:szCs w:val="22"/>
        </w:rPr>
        <w:t>9.1</w:t>
      </w:r>
      <w:r w:rsidR="00E27ED9" w:rsidRPr="00313439">
        <w:rPr>
          <w:rFonts w:cstheme="minorHAnsi"/>
          <w:sz w:val="22"/>
          <w:szCs w:val="22"/>
        </w:rPr>
        <w:t>:</w:t>
      </w:r>
    </w:p>
    <w:p w14:paraId="68613C8A" w14:textId="2FB5204D" w:rsidR="004022AA" w:rsidRPr="00313439" w:rsidRDefault="00400281" w:rsidP="004022AA">
      <w:pPr>
        <w:ind w:left="2127" w:hanging="1407"/>
        <w:rPr>
          <w:rFonts w:cstheme="minorHAnsi"/>
          <w:b/>
          <w:bCs/>
          <w:lang w:val="pl-PL"/>
        </w:rPr>
      </w:pPr>
      <w:r w:rsidRPr="00313439">
        <w:rPr>
          <w:rFonts w:cstheme="minorHAnsi"/>
          <w:lang w:val="pl-PL"/>
        </w:rPr>
        <w:t>było:</w:t>
      </w:r>
      <w:r w:rsidR="004022AA" w:rsidRPr="00313439">
        <w:rPr>
          <w:rFonts w:cstheme="minorHAnsi"/>
          <w:lang w:val="pl-PL"/>
        </w:rPr>
        <w:t xml:space="preserve"> </w:t>
      </w:r>
      <w:r w:rsidR="004022AA" w:rsidRPr="00313439">
        <w:rPr>
          <w:rFonts w:cstheme="minorHAnsi"/>
          <w:lang w:val="pl-PL"/>
        </w:rPr>
        <w:tab/>
        <w:t>9.1.</w:t>
      </w:r>
      <w:r w:rsidR="004022AA" w:rsidRPr="00313439">
        <w:rPr>
          <w:rFonts w:cstheme="minorHAnsi"/>
          <w:lang w:val="pl-PL"/>
        </w:rPr>
        <w:tab/>
        <w:t xml:space="preserve">Gwarancja obejmować będzie usuwanie ujawnionych po odbiorze </w:t>
      </w:r>
      <w:r w:rsidR="004022AA" w:rsidRPr="00313439">
        <w:rPr>
          <w:rFonts w:cstheme="minorHAnsi"/>
          <w:b/>
          <w:bCs/>
          <w:lang w:val="pl-PL"/>
        </w:rPr>
        <w:t>wad lub</w:t>
      </w:r>
      <w:r w:rsidR="004022AA" w:rsidRPr="00313439">
        <w:rPr>
          <w:rFonts w:cstheme="minorHAnsi"/>
          <w:lang w:val="pl-PL"/>
        </w:rPr>
        <w:t xml:space="preserve"> błędów przedmiotu Umowy, powstałych z przyczyn niezależnych od Zamawiającego.</w:t>
      </w:r>
    </w:p>
    <w:p w14:paraId="755C717E" w14:textId="052B2798" w:rsidR="004022AA" w:rsidRPr="00313439" w:rsidRDefault="00400281" w:rsidP="004022AA">
      <w:pPr>
        <w:ind w:left="2127" w:hanging="1407"/>
        <w:rPr>
          <w:rFonts w:cstheme="minorHAnsi"/>
          <w:b/>
          <w:bCs/>
          <w:lang w:val="pl-PL"/>
        </w:rPr>
      </w:pPr>
      <w:r w:rsidRPr="00313439">
        <w:rPr>
          <w:rFonts w:cstheme="minorHAnsi"/>
          <w:lang w:val="pl-PL"/>
        </w:rPr>
        <w:t>jest:</w:t>
      </w:r>
      <w:r w:rsidR="004022AA" w:rsidRPr="00313439">
        <w:rPr>
          <w:rFonts w:cstheme="minorHAnsi"/>
          <w:lang w:val="pl-PL"/>
        </w:rPr>
        <w:t xml:space="preserve"> </w:t>
      </w:r>
      <w:r w:rsidR="004022AA" w:rsidRPr="00313439">
        <w:rPr>
          <w:rFonts w:cstheme="minorHAnsi"/>
          <w:lang w:val="pl-PL"/>
        </w:rPr>
        <w:tab/>
        <w:t>9.1.</w:t>
      </w:r>
      <w:r w:rsidR="004022AA" w:rsidRPr="00313439">
        <w:rPr>
          <w:rFonts w:cstheme="minorHAnsi"/>
          <w:lang w:val="pl-PL"/>
        </w:rPr>
        <w:tab/>
        <w:t>Gwarancja obejmować będzie usuwanie ujawnionych po odbiorze błędów przedmiotu Umowy, powstałych z przyczyn niezależnych od Zamawiającego.</w:t>
      </w:r>
    </w:p>
    <w:p w14:paraId="0B8DD8CA" w14:textId="1A0247D6" w:rsidR="00BD488E" w:rsidRPr="00313439" w:rsidRDefault="006F0CFD" w:rsidP="00085047">
      <w:pPr>
        <w:pStyle w:val="Akapitzlist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</w:t>
      </w:r>
      <w:r w:rsidR="00E27ED9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</w:t>
      </w:r>
      <w:r w:rsidR="00E27ED9" w:rsidRPr="00313439">
        <w:rPr>
          <w:rFonts w:asciiTheme="minorHAnsi" w:hAnsiTheme="minorHAnsi" w:cstheme="minorHAnsi"/>
          <w:sz w:val="22"/>
          <w:szCs w:val="22"/>
        </w:rPr>
        <w:t xml:space="preserve"> </w:t>
      </w:r>
      <w:r w:rsidR="009D16AC" w:rsidRPr="00313439">
        <w:rPr>
          <w:rFonts w:cstheme="minorHAnsi"/>
          <w:sz w:val="22"/>
          <w:szCs w:val="22"/>
        </w:rPr>
        <w:t>§</w:t>
      </w:r>
      <w:r w:rsidR="00E27ED9" w:rsidRPr="00313439">
        <w:rPr>
          <w:rFonts w:cstheme="minorHAnsi"/>
          <w:sz w:val="22"/>
          <w:szCs w:val="22"/>
        </w:rPr>
        <w:t>16 ust. 6:</w:t>
      </w:r>
    </w:p>
    <w:p w14:paraId="0CDFAEF1" w14:textId="1D8AAB84" w:rsidR="00E27ED9" w:rsidRPr="00313439" w:rsidRDefault="00400281" w:rsidP="00E27ED9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E27ED9" w:rsidRPr="00313439">
        <w:rPr>
          <w:rFonts w:cstheme="minorHAnsi"/>
          <w:lang w:val="pl-PL"/>
        </w:rPr>
        <w:tab/>
        <w:t>6.</w:t>
      </w:r>
      <w:r w:rsidR="00E27ED9" w:rsidRPr="00313439">
        <w:rPr>
          <w:rFonts w:cstheme="minorHAnsi"/>
          <w:lang w:val="pl-PL"/>
        </w:rPr>
        <w:tab/>
        <w:t xml:space="preserve">Odbiory w ramach zamówienia dokonywane będą przez powoływane przez Zamawiającego </w:t>
      </w:r>
      <w:r w:rsidR="00E27ED9" w:rsidRPr="00313439">
        <w:rPr>
          <w:rFonts w:cstheme="minorHAnsi"/>
          <w:b/>
          <w:bCs/>
          <w:lang w:val="pl-PL"/>
        </w:rPr>
        <w:t>komisje odbioru</w:t>
      </w:r>
      <w:r w:rsidR="00E27ED9" w:rsidRPr="00313439">
        <w:rPr>
          <w:rFonts w:cstheme="minorHAnsi"/>
          <w:lang w:val="pl-PL"/>
        </w:rPr>
        <w:t>, w skład których wchodzić będą m.in. Inżynier Projektu oraz przedstawiciele Zamawiającego.</w:t>
      </w:r>
    </w:p>
    <w:p w14:paraId="3A9DD1F6" w14:textId="411AF515" w:rsidR="00E27ED9" w:rsidRPr="00313439" w:rsidRDefault="00400281" w:rsidP="00E27ED9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jest:</w:t>
      </w:r>
      <w:r w:rsidR="00E27ED9" w:rsidRPr="00313439">
        <w:rPr>
          <w:rFonts w:cstheme="minorHAnsi"/>
          <w:lang w:val="pl-PL"/>
        </w:rPr>
        <w:tab/>
        <w:t>6.</w:t>
      </w:r>
      <w:r w:rsidR="00E27ED9" w:rsidRPr="00313439">
        <w:rPr>
          <w:rFonts w:cstheme="minorHAnsi"/>
          <w:lang w:val="pl-PL"/>
        </w:rPr>
        <w:tab/>
        <w:t xml:space="preserve">Odbiory w ramach zamówienia dokonywane będą przez powoływane przez Zamawiającego </w:t>
      </w:r>
      <w:r w:rsidR="00E27ED9" w:rsidRPr="00313439">
        <w:rPr>
          <w:rFonts w:cstheme="minorHAnsi"/>
          <w:b/>
          <w:bCs/>
          <w:lang w:val="pl-PL"/>
        </w:rPr>
        <w:t>Komisje Odbiorowe</w:t>
      </w:r>
      <w:r w:rsidR="00E27ED9" w:rsidRPr="00313439">
        <w:rPr>
          <w:rFonts w:cstheme="minorHAnsi"/>
          <w:lang w:val="pl-PL"/>
        </w:rPr>
        <w:t>, w skład których wchodzić będą m.in. Inżynier Projektu oraz przedstawiciele Zamawiającego.</w:t>
      </w:r>
    </w:p>
    <w:p w14:paraId="2057B7CC" w14:textId="648A8EDE" w:rsidR="00E27ED9" w:rsidRPr="00313439" w:rsidRDefault="006F0CFD" w:rsidP="000850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3a do SIWZ – </w:t>
      </w:r>
      <w:r w:rsidR="00E27ED9" w:rsidRPr="00313439">
        <w:rPr>
          <w:rFonts w:asciiTheme="minorHAnsi" w:hAnsiTheme="minorHAnsi" w:cstheme="minorHAnsi"/>
          <w:sz w:val="22"/>
          <w:szCs w:val="22"/>
        </w:rPr>
        <w:t>IPU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 </w:t>
      </w:r>
      <w:r w:rsidR="00E27ED9" w:rsidRPr="00313439">
        <w:rPr>
          <w:rFonts w:asciiTheme="minorHAnsi" w:hAnsiTheme="minorHAnsi" w:cstheme="minorHAnsi"/>
          <w:sz w:val="22"/>
          <w:szCs w:val="22"/>
        </w:rPr>
        <w:t>§12 ust. 2 pkt 2.15</w:t>
      </w:r>
      <w:r w:rsidR="005C22AD" w:rsidRPr="00313439">
        <w:rPr>
          <w:rFonts w:asciiTheme="minorHAnsi" w:hAnsiTheme="minorHAnsi" w:cstheme="minorHAnsi"/>
          <w:sz w:val="22"/>
          <w:szCs w:val="22"/>
        </w:rPr>
        <w:t xml:space="preserve"> (po zmianie numeracji punkt ten ma numer 4.15)</w:t>
      </w:r>
      <w:r w:rsidR="00E27ED9" w:rsidRPr="00313439">
        <w:rPr>
          <w:rFonts w:asciiTheme="minorHAnsi" w:hAnsiTheme="minorHAnsi" w:cstheme="minorHAnsi"/>
          <w:sz w:val="22"/>
          <w:szCs w:val="22"/>
        </w:rPr>
        <w:t>:</w:t>
      </w:r>
    </w:p>
    <w:p w14:paraId="6032C4A1" w14:textId="71286A29" w:rsidR="00E27ED9" w:rsidRPr="00313439" w:rsidRDefault="00400281" w:rsidP="00E27ED9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E27ED9" w:rsidRPr="00313439">
        <w:rPr>
          <w:rFonts w:cstheme="minorHAnsi"/>
          <w:lang w:val="pl-PL"/>
        </w:rPr>
        <w:t xml:space="preserve"> </w:t>
      </w:r>
      <w:r w:rsidR="005C22AD" w:rsidRPr="00313439">
        <w:rPr>
          <w:rFonts w:cstheme="minorHAnsi"/>
          <w:lang w:val="pl-PL"/>
        </w:rPr>
        <w:tab/>
      </w:r>
      <w:r w:rsidR="00E27ED9" w:rsidRPr="00313439">
        <w:rPr>
          <w:rFonts w:cstheme="minorHAnsi"/>
          <w:b/>
          <w:bCs/>
          <w:lang w:val="pl-PL"/>
        </w:rPr>
        <w:t>SIOWW</w:t>
      </w:r>
    </w:p>
    <w:p w14:paraId="16AE452F" w14:textId="20DF213E" w:rsidR="00E27ED9" w:rsidRPr="00313439" w:rsidRDefault="00400281" w:rsidP="00E27ED9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jest:</w:t>
      </w:r>
      <w:r w:rsidR="00E27ED9" w:rsidRPr="00313439">
        <w:rPr>
          <w:rFonts w:cstheme="minorHAnsi"/>
          <w:lang w:val="pl-PL"/>
        </w:rPr>
        <w:t xml:space="preserve"> </w:t>
      </w:r>
      <w:r w:rsidR="00E27ED9" w:rsidRPr="00313439">
        <w:rPr>
          <w:rFonts w:cstheme="minorHAnsi"/>
          <w:lang w:val="pl-PL"/>
        </w:rPr>
        <w:tab/>
      </w:r>
      <w:r w:rsidR="00E27ED9" w:rsidRPr="00313439">
        <w:rPr>
          <w:rFonts w:cstheme="minorHAnsi"/>
          <w:b/>
          <w:bCs/>
          <w:lang w:val="pl-PL"/>
        </w:rPr>
        <w:t>SIPWW</w:t>
      </w:r>
    </w:p>
    <w:p w14:paraId="0406C465" w14:textId="77777777" w:rsidR="006F0CFD" w:rsidRPr="00313439" w:rsidRDefault="006F0CFD" w:rsidP="006F0C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4a do SIWZ (SOPZ część 1.), rozdział </w:t>
      </w:r>
      <w:bookmarkStart w:id="1" w:name="_Toc482613506"/>
      <w:bookmarkStart w:id="2" w:name="_Toc485054942"/>
      <w:bookmarkStart w:id="3" w:name="_Toc487448211"/>
      <w:bookmarkStart w:id="4" w:name="_Toc485897852"/>
      <w:bookmarkStart w:id="5" w:name="_Toc507958586"/>
      <w:bookmarkStart w:id="6" w:name="_Toc536448136"/>
      <w:bookmarkStart w:id="7" w:name="_Toc536448810"/>
      <w:r w:rsidRPr="00313439">
        <w:rPr>
          <w:rFonts w:asciiTheme="minorHAnsi" w:hAnsiTheme="minorHAnsi" w:cstheme="minorHAnsi"/>
          <w:sz w:val="22"/>
          <w:szCs w:val="22"/>
        </w:rPr>
        <w:t xml:space="preserve">1.4 </w:t>
      </w:r>
      <w:r w:rsidRPr="00313439">
        <w:rPr>
          <w:rFonts w:asciiTheme="minorHAnsi" w:hAnsiTheme="minorHAnsi" w:cstheme="minorHAnsi"/>
          <w:i/>
          <w:iCs/>
          <w:sz w:val="22"/>
          <w:szCs w:val="22"/>
        </w:rPr>
        <w:t>Słownik pojęć i skrót</w:t>
      </w:r>
      <w:bookmarkStart w:id="8" w:name="_Toc384885198"/>
      <w:bookmarkStart w:id="9" w:name="_Toc387350095"/>
      <w:r w:rsidRPr="00313439">
        <w:rPr>
          <w:rFonts w:asciiTheme="minorHAnsi" w:hAnsiTheme="minorHAnsi" w:cstheme="minorHAnsi"/>
          <w:i/>
          <w:iCs/>
          <w:sz w:val="22"/>
          <w:szCs w:val="22"/>
        </w:rPr>
        <w:t>ów</w:t>
      </w:r>
      <w:bookmarkEnd w:id="1"/>
      <w:bookmarkEnd w:id="2"/>
      <w:bookmarkEnd w:id="3"/>
      <w:bookmarkEnd w:id="4"/>
      <w:bookmarkEnd w:id="5"/>
      <w:bookmarkEnd w:id="6"/>
      <w:bookmarkEnd w:id="7"/>
      <w:r w:rsidRPr="00313439">
        <w:rPr>
          <w:rFonts w:asciiTheme="minorHAnsi" w:hAnsiTheme="minorHAnsi" w:cstheme="minorHAnsi"/>
          <w:sz w:val="22"/>
          <w:szCs w:val="22"/>
        </w:rPr>
        <w:t>:</w:t>
      </w:r>
    </w:p>
    <w:bookmarkEnd w:id="8"/>
    <w:bookmarkEnd w:id="9"/>
    <w:p w14:paraId="12A90BD2" w14:textId="5EB43CAF" w:rsidR="006F0CFD" w:rsidRPr="00313439" w:rsidRDefault="00400281" w:rsidP="00400281">
      <w:pPr>
        <w:pStyle w:val="Akapitzlist"/>
        <w:spacing w:before="240" w:line="276" w:lineRule="auto"/>
        <w:ind w:left="2126" w:hanging="1406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>dodano</w:t>
      </w:r>
      <w:r w:rsidR="006F0CFD" w:rsidRPr="00313439">
        <w:rPr>
          <w:rFonts w:asciiTheme="minorHAnsi" w:hAnsiTheme="minorHAnsi" w:cstheme="minorHAnsi"/>
          <w:sz w:val="22"/>
          <w:szCs w:val="22"/>
        </w:rPr>
        <w:t>:</w:t>
      </w:r>
      <w:r w:rsidR="006F0CFD" w:rsidRPr="00313439">
        <w:rPr>
          <w:rFonts w:asciiTheme="minorHAnsi" w:hAnsiTheme="minorHAnsi" w:cstheme="minorHAnsi"/>
          <w:sz w:val="22"/>
          <w:szCs w:val="22"/>
        </w:rPr>
        <w:tab/>
      </w:r>
      <w:r w:rsidR="006F0CFD" w:rsidRPr="00313439">
        <w:rPr>
          <w:rFonts w:asciiTheme="minorHAnsi" w:hAnsiTheme="minorHAnsi" w:cstheme="minorHAnsi"/>
          <w:b/>
          <w:bCs/>
          <w:sz w:val="22"/>
          <w:szCs w:val="22"/>
        </w:rPr>
        <w:t>OGC usługi – Usługi danych przestrzennych określone przez standardy OPEN GIS CONSORTIUM: WFS, WMS, WCS, WMTS, CSW.</w:t>
      </w:r>
    </w:p>
    <w:p w14:paraId="6BDE5826" w14:textId="57E8B039" w:rsidR="00E27ED9" w:rsidRPr="00313439" w:rsidRDefault="00E27ED9" w:rsidP="00B20697">
      <w:pPr>
        <w:pStyle w:val="Akapitzlist"/>
        <w:keepNext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>Załącznik nr 8. do SOPZ</w:t>
      </w:r>
      <w:r w:rsidR="00085047" w:rsidRPr="00313439">
        <w:rPr>
          <w:rFonts w:asciiTheme="minorHAnsi" w:hAnsiTheme="minorHAnsi" w:cstheme="minorHAnsi"/>
          <w:sz w:val="22"/>
          <w:szCs w:val="22"/>
        </w:rPr>
        <w:t xml:space="preserve"> (część 1.)</w:t>
      </w:r>
      <w:r w:rsidRPr="00313439">
        <w:rPr>
          <w:rFonts w:asciiTheme="minorHAnsi" w:hAnsiTheme="minorHAnsi" w:cstheme="minorHAnsi"/>
          <w:sz w:val="22"/>
          <w:szCs w:val="22"/>
        </w:rPr>
        <w:t xml:space="preserve">, </w:t>
      </w:r>
      <w:r w:rsidR="00085047" w:rsidRPr="00313439">
        <w:rPr>
          <w:rFonts w:asciiTheme="minorHAnsi" w:hAnsiTheme="minorHAnsi" w:cstheme="minorHAnsi"/>
          <w:sz w:val="22"/>
          <w:szCs w:val="22"/>
        </w:rPr>
        <w:t>r</w:t>
      </w:r>
      <w:r w:rsidRPr="00313439">
        <w:rPr>
          <w:rFonts w:asciiTheme="minorHAnsi" w:hAnsiTheme="minorHAnsi" w:cstheme="minorHAnsi"/>
          <w:sz w:val="22"/>
          <w:szCs w:val="22"/>
        </w:rPr>
        <w:t xml:space="preserve">ozdział 5.2 </w:t>
      </w:r>
      <w:r w:rsidRPr="00313439">
        <w:rPr>
          <w:rFonts w:asciiTheme="minorHAnsi" w:hAnsiTheme="minorHAnsi" w:cstheme="minorHAnsi"/>
          <w:i/>
          <w:iCs/>
          <w:sz w:val="22"/>
          <w:szCs w:val="22"/>
        </w:rPr>
        <w:t>Wymagania Warstwa Serwerów Frontend</w:t>
      </w:r>
      <w:r w:rsidR="00B60C6E" w:rsidRPr="0031343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13439">
        <w:rPr>
          <w:rFonts w:asciiTheme="minorHAnsi" w:hAnsiTheme="minorHAnsi" w:cstheme="minorHAnsi"/>
          <w:sz w:val="22"/>
          <w:szCs w:val="22"/>
        </w:rPr>
        <w:t xml:space="preserve"> pkt 1.1:</w:t>
      </w:r>
    </w:p>
    <w:p w14:paraId="005F12A3" w14:textId="0E66317C" w:rsidR="00B60C6E" w:rsidRPr="00313439" w:rsidRDefault="00400281" w:rsidP="00B60C6E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B60C6E" w:rsidRPr="00313439">
        <w:rPr>
          <w:rFonts w:cstheme="minorHAnsi"/>
          <w:lang w:val="pl-PL"/>
        </w:rPr>
        <w:t xml:space="preserve"> </w:t>
      </w:r>
      <w:r w:rsidR="00B60C6E" w:rsidRPr="00313439">
        <w:rPr>
          <w:rFonts w:cstheme="minorHAnsi"/>
          <w:lang w:val="pl-PL"/>
        </w:rPr>
        <w:tab/>
        <w:t xml:space="preserve">Serwery muszą być zgodne z wymaganiami minimalnymi dla rozwiązania opisanymi w 5.3.1 oraz zapewniać 100% kompatybilność z obudową kasetową (chassis) opisaną w punkcie </w:t>
      </w:r>
      <w:r w:rsidR="00B60C6E" w:rsidRPr="00313439">
        <w:rPr>
          <w:rFonts w:cstheme="minorHAnsi"/>
          <w:b/>
          <w:bCs/>
          <w:lang w:val="pl-PL"/>
        </w:rPr>
        <w:t>5.3.2.</w:t>
      </w:r>
    </w:p>
    <w:p w14:paraId="4D325B48" w14:textId="5F4920CD" w:rsidR="00C44453" w:rsidRPr="00313439" w:rsidRDefault="00400281" w:rsidP="00B60C6E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lastRenderedPageBreak/>
        <w:t>jest:</w:t>
      </w:r>
      <w:r w:rsidR="00B60C6E" w:rsidRPr="00313439">
        <w:rPr>
          <w:rFonts w:cstheme="minorHAnsi"/>
          <w:lang w:val="pl-PL"/>
        </w:rPr>
        <w:tab/>
      </w:r>
      <w:r w:rsidR="00B60C6E" w:rsidRPr="00313439">
        <w:rPr>
          <w:rFonts w:cstheme="minorHAnsi"/>
          <w:color w:val="000000"/>
          <w:lang w:val="pl-PL" w:eastAsia="pl-PL"/>
        </w:rPr>
        <w:t xml:space="preserve">Serwery muszą być zgodne z wymaganiami minimalnymi dla rozwiązania opisanymi w 5.3.1 oraz zapewniać 100% kompatybilność z obudową kasetową (chassis) opisaną w punkcie </w:t>
      </w:r>
      <w:r w:rsidR="00B60C6E" w:rsidRPr="00313439">
        <w:rPr>
          <w:rFonts w:cstheme="minorHAnsi"/>
          <w:b/>
          <w:bCs/>
          <w:color w:val="000000"/>
          <w:lang w:val="pl-PL" w:eastAsia="pl-PL"/>
        </w:rPr>
        <w:t>5</w:t>
      </w:r>
      <w:r w:rsidR="00B60C6E" w:rsidRPr="00313439">
        <w:rPr>
          <w:rStyle w:val="Odwoaniedokomentarza"/>
          <w:rFonts w:cstheme="minorHAnsi"/>
          <w:b/>
          <w:bCs/>
          <w:sz w:val="22"/>
          <w:szCs w:val="22"/>
          <w:lang w:val="pl-PL"/>
        </w:rPr>
        <w:t>.</w:t>
      </w:r>
      <w:r w:rsidR="00B60C6E" w:rsidRPr="00313439">
        <w:rPr>
          <w:rFonts w:cstheme="minorHAnsi"/>
          <w:b/>
          <w:bCs/>
          <w:color w:val="000000"/>
          <w:lang w:val="pl-PL" w:eastAsia="pl-PL"/>
        </w:rPr>
        <w:t>3.1. pkt 2.</w:t>
      </w:r>
    </w:p>
    <w:p w14:paraId="2999E79F" w14:textId="08348F25" w:rsidR="001E08D6" w:rsidRPr="00313439" w:rsidRDefault="00085047" w:rsidP="001E08D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8. do SOPZ (część 1.), rozdział 5.2.1. </w:t>
      </w:r>
      <w:r w:rsidRPr="00313439">
        <w:rPr>
          <w:rFonts w:asciiTheme="minorHAnsi" w:hAnsiTheme="minorHAnsi" w:cstheme="minorHAnsi"/>
          <w:i/>
          <w:iCs/>
          <w:sz w:val="22"/>
          <w:szCs w:val="22"/>
        </w:rPr>
        <w:t>Oprogramowanie</w:t>
      </w:r>
      <w:r w:rsidRPr="00313439">
        <w:rPr>
          <w:rFonts w:asciiTheme="minorHAnsi" w:hAnsiTheme="minorHAnsi" w:cstheme="minorHAnsi"/>
          <w:sz w:val="22"/>
          <w:szCs w:val="22"/>
        </w:rPr>
        <w:t>:</w:t>
      </w:r>
    </w:p>
    <w:p w14:paraId="02933F0B" w14:textId="30C9AB14" w:rsidR="00085047" w:rsidRPr="00313439" w:rsidRDefault="00400281" w:rsidP="001E08D6">
      <w:pPr>
        <w:pStyle w:val="Akapitzlist"/>
        <w:spacing w:before="240"/>
        <w:ind w:left="2126" w:hanging="1406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>dodano</w:t>
      </w:r>
      <w:r w:rsidR="005842E6" w:rsidRPr="00313439">
        <w:rPr>
          <w:rFonts w:asciiTheme="minorHAnsi" w:hAnsiTheme="minorHAnsi" w:cstheme="minorHAnsi"/>
          <w:sz w:val="22"/>
          <w:szCs w:val="22"/>
        </w:rPr>
        <w:t>:</w:t>
      </w:r>
      <w:r w:rsidR="005842E6" w:rsidRPr="00313439">
        <w:rPr>
          <w:rFonts w:asciiTheme="minorHAnsi" w:hAnsiTheme="minorHAnsi" w:cstheme="minorHAnsi"/>
          <w:sz w:val="22"/>
          <w:szCs w:val="22"/>
        </w:rPr>
        <w:tab/>
      </w:r>
      <w:r w:rsidR="00085047" w:rsidRPr="00313439">
        <w:rPr>
          <w:rFonts w:asciiTheme="minorHAnsi" w:hAnsiTheme="minorHAnsi" w:cstheme="minorHAnsi"/>
          <w:b/>
          <w:bCs/>
          <w:sz w:val="22"/>
          <w:szCs w:val="22"/>
        </w:rPr>
        <w:t xml:space="preserve">1.6 </w:t>
      </w:r>
      <w:r w:rsidR="005842E6" w:rsidRPr="0031343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85047" w:rsidRPr="00313439">
        <w:rPr>
          <w:rFonts w:asciiTheme="minorHAnsi" w:hAnsiTheme="minorHAnsi" w:cstheme="minorHAnsi"/>
          <w:b/>
          <w:bCs/>
          <w:sz w:val="22"/>
          <w:szCs w:val="22"/>
        </w:rPr>
        <w:t xml:space="preserve">Zamawiający musi mieć prawo do </w:t>
      </w:r>
      <w:r w:rsidR="00085047" w:rsidRPr="00313439">
        <w:rPr>
          <w:rFonts w:asciiTheme="minorHAnsi" w:eastAsiaTheme="minorHAnsi" w:hAnsiTheme="minorHAnsi" w:cstheme="minorHAnsi"/>
          <w:b/>
          <w:bCs/>
          <w:sz w:val="22"/>
          <w:szCs w:val="22"/>
        </w:rPr>
        <w:t>używania starszej wersji serwerowego systemu operacyjnego.</w:t>
      </w:r>
    </w:p>
    <w:p w14:paraId="65E644C9" w14:textId="1CCED020" w:rsidR="00085047" w:rsidRPr="00313439" w:rsidRDefault="00085047" w:rsidP="005842E6">
      <w:pPr>
        <w:ind w:left="2127"/>
        <w:rPr>
          <w:rFonts w:cstheme="minorHAnsi"/>
          <w:lang w:val="pl-PL"/>
        </w:rPr>
      </w:pPr>
      <w:r w:rsidRPr="00313439">
        <w:rPr>
          <w:rFonts w:cstheme="minorHAnsi"/>
          <w:b/>
          <w:bCs/>
          <w:lang w:val="pl-PL"/>
        </w:rPr>
        <w:t xml:space="preserve">1.7 </w:t>
      </w:r>
      <w:r w:rsidR="005842E6" w:rsidRPr="00313439">
        <w:rPr>
          <w:rFonts w:cstheme="minorHAnsi"/>
          <w:b/>
          <w:bCs/>
          <w:lang w:val="pl-PL"/>
        </w:rPr>
        <w:tab/>
      </w:r>
      <w:r w:rsidRPr="00313439">
        <w:rPr>
          <w:rFonts w:cstheme="minorHAnsi"/>
          <w:b/>
          <w:bCs/>
          <w:lang w:val="pl-PL"/>
        </w:rPr>
        <w:t>Zamawiający musi posiadać prawo do zarządzania licencjami z poziomu portalu internetowego w ramach własnego konta dostępowego.</w:t>
      </w:r>
    </w:p>
    <w:p w14:paraId="3DC20B09" w14:textId="51DF2B52" w:rsidR="001E08D6" w:rsidRPr="00313439" w:rsidRDefault="001E08D6" w:rsidP="006F0C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>Załącznik</w:t>
      </w:r>
      <w:r w:rsidR="001F1360" w:rsidRPr="00313439">
        <w:rPr>
          <w:rFonts w:asciiTheme="minorHAnsi" w:hAnsiTheme="minorHAnsi" w:cstheme="minorHAnsi"/>
          <w:sz w:val="22"/>
          <w:szCs w:val="22"/>
        </w:rPr>
        <w:t xml:space="preserve"> nr 4b do </w:t>
      </w:r>
      <w:r w:rsidR="006F0CFD" w:rsidRPr="00313439">
        <w:rPr>
          <w:rFonts w:asciiTheme="minorHAnsi" w:hAnsiTheme="minorHAnsi" w:cstheme="minorHAnsi"/>
          <w:sz w:val="22"/>
          <w:szCs w:val="22"/>
        </w:rPr>
        <w:t xml:space="preserve">SIWZ </w:t>
      </w:r>
      <w:r w:rsidRPr="00313439">
        <w:rPr>
          <w:rFonts w:asciiTheme="minorHAnsi" w:hAnsiTheme="minorHAnsi" w:cstheme="minorHAnsi"/>
          <w:sz w:val="22"/>
          <w:szCs w:val="22"/>
        </w:rPr>
        <w:t>(</w:t>
      </w:r>
      <w:r w:rsidR="006F0CFD" w:rsidRPr="00313439">
        <w:rPr>
          <w:rFonts w:asciiTheme="minorHAnsi" w:hAnsiTheme="minorHAnsi" w:cstheme="minorHAnsi"/>
          <w:sz w:val="22"/>
          <w:szCs w:val="22"/>
        </w:rPr>
        <w:t xml:space="preserve">SOPZ </w:t>
      </w:r>
      <w:r w:rsidRPr="00313439">
        <w:rPr>
          <w:rFonts w:asciiTheme="minorHAnsi" w:hAnsiTheme="minorHAnsi" w:cstheme="minorHAnsi"/>
          <w:sz w:val="22"/>
          <w:szCs w:val="22"/>
        </w:rPr>
        <w:t>część 2.), rozdział</w:t>
      </w:r>
      <w:r w:rsidR="001F1360" w:rsidRPr="00313439">
        <w:rPr>
          <w:rFonts w:asciiTheme="minorHAnsi" w:hAnsiTheme="minorHAnsi" w:cstheme="minorHAnsi"/>
          <w:sz w:val="22"/>
          <w:szCs w:val="22"/>
        </w:rPr>
        <w:t xml:space="preserve"> </w:t>
      </w:r>
      <w:r w:rsidRPr="00313439">
        <w:rPr>
          <w:rFonts w:asciiTheme="minorHAnsi" w:hAnsiTheme="minorHAnsi" w:cstheme="minorHAnsi"/>
          <w:sz w:val="22"/>
          <w:szCs w:val="22"/>
        </w:rPr>
        <w:t xml:space="preserve">2.4. </w:t>
      </w:r>
      <w:r w:rsidR="001F1360" w:rsidRPr="00313439">
        <w:rPr>
          <w:rFonts w:asciiTheme="minorHAnsi" w:hAnsiTheme="minorHAnsi" w:cstheme="minorHAnsi"/>
          <w:i/>
          <w:iCs/>
          <w:sz w:val="22"/>
          <w:szCs w:val="22"/>
        </w:rPr>
        <w:t>Komputery typu Laptop typ B</w:t>
      </w:r>
      <w:r w:rsidRPr="0031343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F1360" w:rsidRPr="00313439">
        <w:rPr>
          <w:rFonts w:asciiTheme="minorHAnsi" w:hAnsiTheme="minorHAnsi" w:cstheme="minorHAnsi"/>
          <w:sz w:val="22"/>
          <w:szCs w:val="22"/>
        </w:rPr>
        <w:t xml:space="preserve"> pkt 4</w:t>
      </w:r>
      <w:r w:rsidRPr="00313439">
        <w:rPr>
          <w:rFonts w:asciiTheme="minorHAnsi" w:hAnsiTheme="minorHAnsi" w:cstheme="minorHAnsi"/>
          <w:sz w:val="22"/>
          <w:szCs w:val="22"/>
        </w:rPr>
        <w:t>:</w:t>
      </w:r>
    </w:p>
    <w:p w14:paraId="7B616AB2" w14:textId="6CE78133" w:rsidR="001E08D6" w:rsidRPr="00313439" w:rsidRDefault="00400281" w:rsidP="001E08D6">
      <w:pPr>
        <w:spacing w:after="0"/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1E08D6" w:rsidRPr="00313439">
        <w:rPr>
          <w:rFonts w:cstheme="minorHAnsi"/>
          <w:lang w:val="pl-PL"/>
        </w:rPr>
        <w:t xml:space="preserve"> </w:t>
      </w:r>
      <w:r w:rsidR="001E08D6" w:rsidRPr="00313439">
        <w:rPr>
          <w:rFonts w:cstheme="minorHAnsi"/>
          <w:lang w:val="pl-PL"/>
        </w:rPr>
        <w:tab/>
        <w:t>HDD min. 1 TB</w:t>
      </w:r>
    </w:p>
    <w:p w14:paraId="7B9B3F81" w14:textId="634735FC" w:rsidR="001E08D6" w:rsidRPr="00313439" w:rsidRDefault="001E08D6" w:rsidP="001E08D6">
      <w:pPr>
        <w:ind w:left="212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SSD min. 256 GB</w:t>
      </w:r>
    </w:p>
    <w:p w14:paraId="5534E62E" w14:textId="1F2FD266" w:rsidR="001E08D6" w:rsidRPr="00313439" w:rsidRDefault="00400281" w:rsidP="001E08D6">
      <w:pPr>
        <w:spacing w:after="0"/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jest:</w:t>
      </w:r>
      <w:r w:rsidR="001E08D6" w:rsidRPr="00313439">
        <w:rPr>
          <w:rFonts w:cstheme="minorHAnsi"/>
          <w:lang w:val="pl-PL"/>
        </w:rPr>
        <w:tab/>
        <w:t>HDD min. 1 TB</w:t>
      </w:r>
    </w:p>
    <w:p w14:paraId="0DE035F9" w14:textId="696F5C6F" w:rsidR="001E08D6" w:rsidRPr="00313439" w:rsidRDefault="001E08D6" w:rsidP="001E08D6">
      <w:pPr>
        <w:spacing w:after="0"/>
        <w:ind w:left="212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 xml:space="preserve">SSD min. 256 GB </w:t>
      </w:r>
      <w:r w:rsidRPr="00313439">
        <w:rPr>
          <w:rFonts w:cstheme="minorHAnsi"/>
          <w:b/>
          <w:bCs/>
          <w:lang w:val="pl-PL"/>
        </w:rPr>
        <w:t>zawierający partycję RECOVERY umożliwiającą odtworzenie systemu operacyjnego fabrycznie zainstalowanego na komputerze po awarii.</w:t>
      </w:r>
    </w:p>
    <w:p w14:paraId="30080E4A" w14:textId="7C94AC6C" w:rsidR="006F0CFD" w:rsidRPr="00313439" w:rsidRDefault="006F0CFD" w:rsidP="006F0CFD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13439">
        <w:rPr>
          <w:rFonts w:asciiTheme="minorHAnsi" w:hAnsiTheme="minorHAnsi" w:cstheme="minorHAnsi"/>
          <w:sz w:val="22"/>
          <w:szCs w:val="22"/>
        </w:rPr>
        <w:t xml:space="preserve">Załącznik nr 6 do SIWZ – Wykaz osób (część 1.), lit. q) </w:t>
      </w:r>
      <w:r w:rsidRPr="00313439">
        <w:rPr>
          <w:rFonts w:asciiTheme="minorHAnsi" w:hAnsiTheme="minorHAnsi" w:cstheme="minorHAnsi"/>
          <w:i/>
          <w:iCs/>
          <w:sz w:val="22"/>
          <w:szCs w:val="22"/>
        </w:rPr>
        <w:t>Trener</w:t>
      </w:r>
      <w:r w:rsidRPr="00313439">
        <w:rPr>
          <w:rFonts w:asciiTheme="minorHAnsi" w:hAnsiTheme="minorHAnsi" w:cstheme="minorHAnsi"/>
          <w:sz w:val="22"/>
          <w:szCs w:val="22"/>
        </w:rPr>
        <w:t>, nagłówek tabeli:</w:t>
      </w:r>
    </w:p>
    <w:p w14:paraId="75201076" w14:textId="28F9CE93" w:rsidR="006F0CFD" w:rsidRPr="00313439" w:rsidRDefault="00400281" w:rsidP="006F0CFD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było:</w:t>
      </w:r>
      <w:r w:rsidR="006F0CFD" w:rsidRPr="00313439">
        <w:rPr>
          <w:rFonts w:cstheme="minorHAnsi"/>
          <w:lang w:val="pl-PL"/>
        </w:rPr>
        <w:tab/>
        <w:t xml:space="preserve">Czas trwania </w:t>
      </w:r>
      <w:r w:rsidR="006F0CFD" w:rsidRPr="00313439">
        <w:rPr>
          <w:rFonts w:cstheme="minorHAnsi"/>
          <w:b/>
          <w:bCs/>
          <w:lang w:val="pl-PL"/>
        </w:rPr>
        <w:t>projektu</w:t>
      </w:r>
      <w:r w:rsidR="006F0CFD" w:rsidRPr="00313439">
        <w:rPr>
          <w:rFonts w:cstheme="minorHAnsi"/>
          <w:lang w:val="pl-PL"/>
        </w:rPr>
        <w:t xml:space="preserve"> </w:t>
      </w:r>
      <w:r w:rsidR="006F0CFD" w:rsidRPr="00313439">
        <w:rPr>
          <w:rFonts w:cstheme="minorHAnsi"/>
          <w:lang w:val="pl-PL"/>
        </w:rPr>
        <w:br/>
        <w:t xml:space="preserve">           od – do</w:t>
      </w:r>
      <w:r w:rsidR="006F0CFD" w:rsidRPr="00313439">
        <w:rPr>
          <w:rFonts w:cstheme="minorHAnsi"/>
          <w:lang w:val="pl-PL"/>
        </w:rPr>
        <w:br/>
        <w:t>(mm.rrrr – mm.rrrr)</w:t>
      </w:r>
    </w:p>
    <w:p w14:paraId="3BE3F4FB" w14:textId="7DEE6B26" w:rsidR="006F0CFD" w:rsidRDefault="00400281" w:rsidP="006F0CFD">
      <w:pPr>
        <w:ind w:left="2127" w:hanging="1407"/>
        <w:rPr>
          <w:rFonts w:cstheme="minorHAnsi"/>
          <w:lang w:val="pl-PL"/>
        </w:rPr>
      </w:pPr>
      <w:r w:rsidRPr="00313439">
        <w:rPr>
          <w:rFonts w:cstheme="minorHAnsi"/>
          <w:lang w:val="pl-PL"/>
        </w:rPr>
        <w:t>jest:</w:t>
      </w:r>
      <w:r w:rsidR="006F0CFD" w:rsidRPr="00313439">
        <w:rPr>
          <w:rFonts w:cstheme="minorHAnsi"/>
          <w:lang w:val="pl-PL"/>
        </w:rPr>
        <w:tab/>
        <w:t xml:space="preserve">Czas trwania </w:t>
      </w:r>
      <w:r w:rsidR="006F0CFD" w:rsidRPr="00313439">
        <w:rPr>
          <w:rFonts w:cstheme="minorHAnsi"/>
          <w:b/>
          <w:bCs/>
          <w:lang w:val="pl-PL"/>
        </w:rPr>
        <w:t>szkolenia</w:t>
      </w:r>
      <w:r w:rsidR="006F0CFD" w:rsidRPr="00313439">
        <w:rPr>
          <w:rFonts w:cstheme="minorHAnsi"/>
          <w:lang w:val="pl-PL"/>
        </w:rPr>
        <w:t xml:space="preserve"> </w:t>
      </w:r>
      <w:r w:rsidR="006F0CFD" w:rsidRPr="00313439">
        <w:rPr>
          <w:rFonts w:cstheme="minorHAnsi"/>
          <w:lang w:val="pl-PL"/>
        </w:rPr>
        <w:br/>
        <w:t xml:space="preserve">           od – do</w:t>
      </w:r>
      <w:r w:rsidR="006F0CFD" w:rsidRPr="00313439">
        <w:rPr>
          <w:rFonts w:cstheme="minorHAnsi"/>
          <w:lang w:val="pl-PL"/>
        </w:rPr>
        <w:br/>
        <w:t>(mm.rrrr – mm.rrrr)</w:t>
      </w:r>
    </w:p>
    <w:p w14:paraId="71CB0797" w14:textId="7FDF9015" w:rsidR="008C2A48" w:rsidRPr="00832E7B" w:rsidRDefault="008C2A48" w:rsidP="00EB4DCD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832E7B">
        <w:rPr>
          <w:rFonts w:cstheme="minorHAnsi"/>
          <w:sz w:val="22"/>
          <w:szCs w:val="22"/>
        </w:rPr>
        <w:t xml:space="preserve">Załącznik nr 8 do SOPZ (część 1.), rozdział </w:t>
      </w:r>
      <w:r w:rsidRPr="00832E7B">
        <w:rPr>
          <w:rFonts w:eastAsiaTheme="minorHAnsi" w:cstheme="minorHAnsi"/>
          <w:sz w:val="22"/>
          <w:szCs w:val="22"/>
        </w:rPr>
        <w:t xml:space="preserve">4.1 </w:t>
      </w:r>
      <w:r w:rsidRPr="00832E7B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Warstwa Routerów Internet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 punkt 6:</w:t>
      </w:r>
    </w:p>
    <w:p w14:paraId="0DEB9621" w14:textId="5368675A" w:rsid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było:</w:t>
      </w:r>
      <w:r w:rsidRPr="008C2A48">
        <w:rPr>
          <w:rFonts w:cstheme="minorHAnsi"/>
          <w:lang w:val="pl-PL"/>
        </w:rPr>
        <w:tab/>
        <w:t xml:space="preserve">Router musi obsługiwać ramki Jumbo o wielkości </w:t>
      </w:r>
      <w:r w:rsidRPr="00832E7B">
        <w:rPr>
          <w:rFonts w:cstheme="minorHAnsi"/>
          <w:b/>
          <w:bCs/>
          <w:lang w:val="pl-PL"/>
        </w:rPr>
        <w:t>9 KB</w:t>
      </w:r>
      <w:r w:rsidRPr="008C2A48">
        <w:rPr>
          <w:rFonts w:cstheme="minorHAnsi"/>
          <w:lang w:val="pl-PL"/>
        </w:rPr>
        <w:t>.</w:t>
      </w:r>
    </w:p>
    <w:p w14:paraId="6751D8D6" w14:textId="38752A69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>
        <w:rPr>
          <w:rFonts w:cstheme="minorHAnsi"/>
          <w:lang w:val="pl-PL"/>
        </w:rPr>
        <w:t>jest:</w:t>
      </w:r>
      <w:r>
        <w:rPr>
          <w:rFonts w:cstheme="minorHAnsi"/>
          <w:lang w:val="pl-PL"/>
        </w:rPr>
        <w:tab/>
      </w:r>
      <w:r w:rsidRPr="008C2A48">
        <w:rPr>
          <w:rFonts w:cstheme="minorHAnsi"/>
          <w:lang w:val="pl-PL"/>
        </w:rPr>
        <w:t xml:space="preserve">Router musi obsługiwać ramki </w:t>
      </w:r>
      <w:r w:rsidR="00280D36">
        <w:rPr>
          <w:rFonts w:cstheme="minorHAnsi"/>
          <w:lang w:val="pl-PL"/>
        </w:rPr>
        <w:t>j</w:t>
      </w:r>
      <w:r w:rsidRPr="008C2A48">
        <w:rPr>
          <w:rFonts w:cstheme="minorHAnsi"/>
          <w:lang w:val="pl-PL"/>
        </w:rPr>
        <w:t>umbo o wielkości</w:t>
      </w:r>
      <w:r>
        <w:rPr>
          <w:rFonts w:cstheme="minorHAnsi"/>
          <w:lang w:val="pl-PL"/>
        </w:rPr>
        <w:t xml:space="preserve"> </w:t>
      </w:r>
      <w:r w:rsidRPr="00832E7B">
        <w:rPr>
          <w:rFonts w:cstheme="minorHAnsi"/>
          <w:b/>
          <w:bCs/>
          <w:lang w:val="pl-PL"/>
        </w:rPr>
        <w:t>9000</w:t>
      </w:r>
      <w:r w:rsidR="00832E7B" w:rsidRPr="00832E7B">
        <w:rPr>
          <w:rFonts w:cstheme="minorHAnsi"/>
          <w:b/>
          <w:bCs/>
          <w:lang w:val="pl-PL"/>
        </w:rPr>
        <w:t xml:space="preserve"> </w:t>
      </w:r>
      <w:r w:rsidRPr="00832E7B">
        <w:rPr>
          <w:rFonts w:cstheme="minorHAnsi"/>
          <w:b/>
          <w:bCs/>
          <w:lang w:val="pl-PL"/>
        </w:rPr>
        <w:t>B</w:t>
      </w:r>
      <w:r>
        <w:rPr>
          <w:rFonts w:cstheme="minorHAnsi"/>
          <w:lang w:val="pl-PL"/>
        </w:rPr>
        <w:t>.</w:t>
      </w:r>
    </w:p>
    <w:p w14:paraId="21EB2ACF" w14:textId="2B164DCC" w:rsidR="008C2A48" w:rsidRPr="00832E7B" w:rsidRDefault="008C2A48" w:rsidP="008C02A0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832E7B">
        <w:rPr>
          <w:rFonts w:cstheme="minorHAnsi"/>
          <w:sz w:val="22"/>
          <w:szCs w:val="22"/>
        </w:rPr>
        <w:t xml:space="preserve">Załącznik nr 8 do SOPZ (część 1.), rozdział 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4.2 </w:t>
      </w:r>
      <w:r w:rsidRPr="00832E7B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Warstwa Przełączników Zewnętrznych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 pkt 12:</w:t>
      </w:r>
    </w:p>
    <w:p w14:paraId="2809C8E9" w14:textId="3EEB21D8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było:</w:t>
      </w:r>
      <w:r w:rsidRPr="008C2A48">
        <w:rPr>
          <w:rFonts w:cstheme="minorHAnsi"/>
          <w:lang w:val="pl-PL"/>
        </w:rPr>
        <w:tab/>
        <w:t>Przełącznik musi obsługiwać ramki jumbo (</w:t>
      </w:r>
      <w:bookmarkStart w:id="10" w:name="_Hlk19454463"/>
      <w:r w:rsidRPr="00832E7B">
        <w:rPr>
          <w:rFonts w:cstheme="minorHAnsi"/>
          <w:b/>
          <w:bCs/>
          <w:lang w:val="pl-PL"/>
        </w:rPr>
        <w:t>9216 bajtów</w:t>
      </w:r>
      <w:bookmarkEnd w:id="10"/>
      <w:r w:rsidRPr="008C2A48">
        <w:rPr>
          <w:rFonts w:cstheme="minorHAnsi"/>
          <w:lang w:val="pl-PL"/>
        </w:rPr>
        <w:t>) na wszystkich interfejsach.</w:t>
      </w:r>
    </w:p>
    <w:p w14:paraId="1A6D61C5" w14:textId="6B454831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lastRenderedPageBreak/>
        <w:t>jest:</w:t>
      </w:r>
      <w:r w:rsidRPr="008C2A48">
        <w:rPr>
          <w:rFonts w:cstheme="minorHAnsi"/>
          <w:lang w:val="pl-PL"/>
        </w:rPr>
        <w:tab/>
        <w:t>Przełącznik musi obsługiwać ramki jumbo (</w:t>
      </w:r>
      <w:r w:rsidRPr="00832E7B">
        <w:rPr>
          <w:rFonts w:cstheme="minorHAnsi"/>
          <w:b/>
          <w:bCs/>
          <w:lang w:val="pl-PL"/>
        </w:rPr>
        <w:t>9000 B</w:t>
      </w:r>
      <w:r w:rsidRPr="008C2A48">
        <w:rPr>
          <w:rFonts w:cstheme="minorHAnsi"/>
          <w:lang w:val="pl-PL"/>
        </w:rPr>
        <w:t>) na wszystkich interfejsach.</w:t>
      </w:r>
    </w:p>
    <w:p w14:paraId="55D6113A" w14:textId="060FA942" w:rsidR="008C2A48" w:rsidRPr="00427268" w:rsidRDefault="008C2A48" w:rsidP="00427268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27268">
        <w:rPr>
          <w:rFonts w:cstheme="minorHAnsi"/>
          <w:sz w:val="22"/>
          <w:szCs w:val="22"/>
        </w:rPr>
        <w:t xml:space="preserve">Załącznik nr 8 do SOPZ (część 1.), rozdział </w:t>
      </w:r>
      <w:r w:rsidR="00427268" w:rsidRPr="00427268">
        <w:rPr>
          <w:rFonts w:asciiTheme="minorHAnsi" w:eastAsiaTheme="minorHAnsi" w:hAnsiTheme="minorHAnsi" w:cstheme="minorHAnsi"/>
          <w:sz w:val="22"/>
          <w:szCs w:val="22"/>
        </w:rPr>
        <w:t>4.5</w:t>
      </w:r>
      <w:r w:rsidRPr="0042726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bookmarkStart w:id="11" w:name="_Toc492989352"/>
      <w:bookmarkStart w:id="12" w:name="_Toc529911944"/>
      <w:r w:rsidR="00427268" w:rsidRPr="00427268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Warstwa Przełączników</w:t>
      </w:r>
      <w:bookmarkEnd w:id="11"/>
      <w:bookmarkEnd w:id="12"/>
      <w:r w:rsidR="00427268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427268">
        <w:rPr>
          <w:rFonts w:asciiTheme="minorHAnsi" w:eastAsiaTheme="minorHAnsi" w:hAnsiTheme="minorHAnsi" w:cstheme="minorHAnsi"/>
          <w:sz w:val="22"/>
          <w:szCs w:val="22"/>
        </w:rPr>
        <w:t xml:space="preserve">podrozdział </w:t>
      </w:r>
      <w:r w:rsidRPr="00427268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dla przełączników backend</w:t>
      </w:r>
      <w:r w:rsidRPr="00427268">
        <w:rPr>
          <w:rFonts w:asciiTheme="minorHAnsi" w:eastAsiaTheme="minorHAnsi" w:hAnsiTheme="minorHAnsi" w:cstheme="minorHAnsi"/>
          <w:sz w:val="22"/>
          <w:szCs w:val="22"/>
        </w:rPr>
        <w:t xml:space="preserve"> pkt 15:</w:t>
      </w:r>
    </w:p>
    <w:p w14:paraId="6CFB5670" w14:textId="611C03DB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było:</w:t>
      </w:r>
      <w:r w:rsidRPr="008C2A48">
        <w:rPr>
          <w:rFonts w:cstheme="minorHAnsi"/>
          <w:lang w:val="pl-PL"/>
        </w:rPr>
        <w:tab/>
      </w:r>
      <w:r w:rsidR="00A2175E" w:rsidRPr="00A2175E">
        <w:rPr>
          <w:rFonts w:cstheme="minorHAnsi"/>
          <w:lang w:val="pl-PL"/>
        </w:rPr>
        <w:t>Przełącznik musi obsługiwać ramki Jumbo (</w:t>
      </w:r>
      <w:r w:rsidR="00A2175E" w:rsidRPr="00832E7B">
        <w:rPr>
          <w:rFonts w:cstheme="minorHAnsi"/>
          <w:b/>
          <w:bCs/>
          <w:lang w:val="pl-PL"/>
        </w:rPr>
        <w:t>9KB</w:t>
      </w:r>
      <w:r w:rsidR="00A2175E" w:rsidRPr="00A2175E">
        <w:rPr>
          <w:rFonts w:cstheme="minorHAnsi"/>
          <w:lang w:val="pl-PL"/>
        </w:rPr>
        <w:t>).</w:t>
      </w:r>
    </w:p>
    <w:p w14:paraId="012FF25D" w14:textId="28CCCEA9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jest:</w:t>
      </w:r>
      <w:r w:rsidRPr="008C2A48">
        <w:rPr>
          <w:rFonts w:cstheme="minorHAnsi"/>
          <w:lang w:val="pl-PL"/>
        </w:rPr>
        <w:tab/>
      </w:r>
      <w:r w:rsidR="00A2175E" w:rsidRPr="00A2175E">
        <w:rPr>
          <w:rFonts w:cstheme="minorHAnsi"/>
          <w:lang w:val="pl-PL"/>
        </w:rPr>
        <w:t xml:space="preserve">Przełącznik musi obsługiwać ramki </w:t>
      </w:r>
      <w:r w:rsidR="00280D36">
        <w:rPr>
          <w:rFonts w:cstheme="minorHAnsi"/>
          <w:lang w:val="pl-PL"/>
        </w:rPr>
        <w:t>j</w:t>
      </w:r>
      <w:r w:rsidR="00A2175E" w:rsidRPr="00A2175E">
        <w:rPr>
          <w:rFonts w:cstheme="minorHAnsi"/>
          <w:lang w:val="pl-PL"/>
        </w:rPr>
        <w:t>umbo (</w:t>
      </w:r>
      <w:r w:rsidR="00A2175E" w:rsidRPr="00832E7B">
        <w:rPr>
          <w:rFonts w:cstheme="minorHAnsi"/>
          <w:b/>
          <w:bCs/>
          <w:lang w:val="pl-PL"/>
        </w:rPr>
        <w:t>9</w:t>
      </w:r>
      <w:r w:rsidRPr="00832E7B">
        <w:rPr>
          <w:rFonts w:cstheme="minorHAnsi"/>
          <w:b/>
          <w:bCs/>
          <w:lang w:val="pl-PL"/>
        </w:rPr>
        <w:t>000</w:t>
      </w:r>
      <w:r w:rsidR="00A2175E" w:rsidRPr="00832E7B">
        <w:rPr>
          <w:rFonts w:cstheme="minorHAnsi"/>
          <w:b/>
          <w:bCs/>
          <w:lang w:val="pl-PL"/>
        </w:rPr>
        <w:t xml:space="preserve"> </w:t>
      </w:r>
      <w:r w:rsidRPr="00832E7B">
        <w:rPr>
          <w:rFonts w:cstheme="minorHAnsi"/>
          <w:b/>
          <w:bCs/>
          <w:lang w:val="pl-PL"/>
        </w:rPr>
        <w:t>B</w:t>
      </w:r>
      <w:r w:rsidR="00A2175E">
        <w:rPr>
          <w:rFonts w:cstheme="minorHAnsi"/>
          <w:lang w:val="pl-PL"/>
        </w:rPr>
        <w:t>)</w:t>
      </w:r>
      <w:r w:rsidRPr="008C2A48">
        <w:rPr>
          <w:rFonts w:cstheme="minorHAnsi"/>
          <w:lang w:val="pl-PL"/>
        </w:rPr>
        <w:t>.</w:t>
      </w:r>
    </w:p>
    <w:p w14:paraId="105FC998" w14:textId="50B3FCDF" w:rsidR="008C2A48" w:rsidRPr="00832E7B" w:rsidRDefault="008C2A48" w:rsidP="00427268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832E7B">
        <w:rPr>
          <w:rFonts w:cstheme="minorHAnsi"/>
          <w:sz w:val="22"/>
          <w:szCs w:val="22"/>
        </w:rPr>
        <w:t xml:space="preserve">Załącznik nr 8 do SOPZ (część 1.), rozdział </w:t>
      </w:r>
      <w:r w:rsidR="00427268" w:rsidRPr="00427268">
        <w:rPr>
          <w:rFonts w:asciiTheme="minorHAnsi" w:eastAsiaTheme="minorHAnsi" w:hAnsiTheme="minorHAnsi" w:cstheme="minorHAnsi"/>
          <w:sz w:val="22"/>
          <w:szCs w:val="22"/>
        </w:rPr>
        <w:t xml:space="preserve">4.5 </w:t>
      </w:r>
      <w:r w:rsidR="00427268" w:rsidRPr="00427268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Warstwa Przełączników</w:t>
      </w:r>
      <w:r w:rsidR="00427268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podrozdział </w:t>
      </w:r>
      <w:r w:rsidRPr="00832E7B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dla przełączników backup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 pkt 12:</w:t>
      </w:r>
    </w:p>
    <w:p w14:paraId="324AF306" w14:textId="0DB27700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było:</w:t>
      </w:r>
      <w:r w:rsidRPr="008C2A48">
        <w:rPr>
          <w:rFonts w:cstheme="minorHAnsi"/>
          <w:lang w:val="pl-PL"/>
        </w:rPr>
        <w:tab/>
      </w:r>
      <w:r w:rsidR="00A2175E" w:rsidRPr="00A2175E">
        <w:rPr>
          <w:rFonts w:cstheme="minorHAnsi"/>
          <w:lang w:val="pl-PL"/>
        </w:rPr>
        <w:t>Przełącznik musi obsługiwać ramki jumbo (</w:t>
      </w:r>
      <w:r w:rsidR="00A2175E" w:rsidRPr="00832E7B">
        <w:rPr>
          <w:rFonts w:cstheme="minorHAnsi"/>
          <w:b/>
          <w:bCs/>
          <w:lang w:val="pl-PL"/>
        </w:rPr>
        <w:t>9216 bajtów</w:t>
      </w:r>
      <w:r w:rsidR="00A2175E" w:rsidRPr="00A2175E">
        <w:rPr>
          <w:rFonts w:cstheme="minorHAnsi"/>
          <w:lang w:val="pl-PL"/>
        </w:rPr>
        <w:t>) na wszystkich interfejsach</w:t>
      </w:r>
      <w:r w:rsidRPr="008C2A48">
        <w:rPr>
          <w:rFonts w:cstheme="minorHAnsi"/>
          <w:lang w:val="pl-PL"/>
        </w:rPr>
        <w:t>.</w:t>
      </w:r>
    </w:p>
    <w:p w14:paraId="005A0D64" w14:textId="1E791623" w:rsidR="008C2A48" w:rsidRPr="008C2A48" w:rsidRDefault="008C2A48" w:rsidP="008C2A48">
      <w:pPr>
        <w:ind w:left="2127" w:hanging="1418"/>
        <w:rPr>
          <w:rFonts w:cstheme="minorHAnsi"/>
          <w:lang w:val="pl-PL"/>
        </w:rPr>
      </w:pPr>
      <w:r w:rsidRPr="008C2A48">
        <w:rPr>
          <w:rFonts w:cstheme="minorHAnsi"/>
          <w:lang w:val="pl-PL"/>
        </w:rPr>
        <w:t>jest:</w:t>
      </w:r>
      <w:r w:rsidRPr="008C2A48">
        <w:rPr>
          <w:rFonts w:cstheme="minorHAnsi"/>
          <w:lang w:val="pl-PL"/>
        </w:rPr>
        <w:tab/>
      </w:r>
      <w:r w:rsidR="00A2175E" w:rsidRPr="00A2175E">
        <w:rPr>
          <w:rFonts w:cstheme="minorHAnsi"/>
          <w:lang w:val="pl-PL"/>
        </w:rPr>
        <w:t>Przełącznik musi obsługiwać ramki jumbo (</w:t>
      </w:r>
      <w:r w:rsidR="00A2175E" w:rsidRPr="00832E7B">
        <w:rPr>
          <w:rFonts w:cstheme="minorHAnsi"/>
          <w:b/>
          <w:bCs/>
          <w:lang w:val="pl-PL"/>
        </w:rPr>
        <w:t>9000 B</w:t>
      </w:r>
      <w:r w:rsidR="00A2175E" w:rsidRPr="00A2175E">
        <w:rPr>
          <w:rFonts w:cstheme="minorHAnsi"/>
          <w:lang w:val="pl-PL"/>
        </w:rPr>
        <w:t>) na wszystkich interfejsach</w:t>
      </w:r>
      <w:r w:rsidRPr="008C2A48">
        <w:rPr>
          <w:rFonts w:cstheme="minorHAnsi"/>
          <w:lang w:val="pl-PL"/>
        </w:rPr>
        <w:t>.</w:t>
      </w:r>
    </w:p>
    <w:p w14:paraId="45C598CC" w14:textId="1A0F7CC7" w:rsidR="008C2A48" w:rsidRPr="00832E7B" w:rsidRDefault="008C2A48" w:rsidP="00427268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832E7B">
        <w:rPr>
          <w:rFonts w:cstheme="minorHAnsi"/>
          <w:sz w:val="22"/>
          <w:szCs w:val="22"/>
        </w:rPr>
        <w:t xml:space="preserve">Załącznik nr 8 do SOPZ (część 1.), rozdział </w:t>
      </w:r>
      <w:r w:rsidR="00427268" w:rsidRPr="00427268">
        <w:rPr>
          <w:rFonts w:asciiTheme="minorHAnsi" w:eastAsiaTheme="minorHAnsi" w:hAnsiTheme="minorHAnsi" w:cstheme="minorHAnsi"/>
          <w:sz w:val="22"/>
          <w:szCs w:val="22"/>
        </w:rPr>
        <w:t xml:space="preserve">4.5 </w:t>
      </w:r>
      <w:r w:rsidR="00427268" w:rsidRPr="00427268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Warstwa Przełączników</w:t>
      </w:r>
      <w:r w:rsidR="00427268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podrozdział </w:t>
      </w:r>
      <w:r w:rsidRPr="00832E7B">
        <w:rPr>
          <w:rFonts w:asciiTheme="minorHAnsi" w:eastAsiaTheme="minorHAnsi" w:hAnsiTheme="minorHAnsi" w:cstheme="minorHAnsi"/>
          <w:i/>
          <w:iCs/>
          <w:sz w:val="22"/>
          <w:szCs w:val="22"/>
        </w:rPr>
        <w:t>Wymagania dla przełączników management</w:t>
      </w:r>
      <w:r w:rsidRPr="00832E7B">
        <w:rPr>
          <w:rFonts w:asciiTheme="minorHAnsi" w:eastAsiaTheme="minorHAnsi" w:hAnsiTheme="minorHAnsi" w:cstheme="minorHAnsi"/>
          <w:sz w:val="22"/>
          <w:szCs w:val="22"/>
        </w:rPr>
        <w:t xml:space="preserve"> pkt 12:</w:t>
      </w:r>
    </w:p>
    <w:p w14:paraId="09047F5C" w14:textId="77777777" w:rsidR="00A2175E" w:rsidRPr="00A2175E" w:rsidRDefault="00A2175E" w:rsidP="00A2175E">
      <w:pPr>
        <w:ind w:left="2127" w:hanging="1418"/>
        <w:rPr>
          <w:rFonts w:cstheme="minorHAnsi"/>
          <w:lang w:val="pl-PL"/>
        </w:rPr>
      </w:pPr>
      <w:r w:rsidRPr="00A2175E">
        <w:rPr>
          <w:rFonts w:cstheme="minorHAnsi"/>
          <w:lang w:val="pl-PL"/>
        </w:rPr>
        <w:t>było:</w:t>
      </w:r>
      <w:r w:rsidRPr="00A2175E">
        <w:rPr>
          <w:rFonts w:cstheme="minorHAnsi"/>
          <w:lang w:val="pl-PL"/>
        </w:rPr>
        <w:tab/>
        <w:t>Przełącznik musi obsługiwać ramki jumbo (</w:t>
      </w:r>
      <w:r w:rsidRPr="00832E7B">
        <w:rPr>
          <w:rFonts w:cstheme="minorHAnsi"/>
          <w:b/>
          <w:bCs/>
          <w:lang w:val="pl-PL"/>
        </w:rPr>
        <w:t>9216 bajtów</w:t>
      </w:r>
      <w:r w:rsidRPr="00A2175E">
        <w:rPr>
          <w:rFonts w:cstheme="minorHAnsi"/>
          <w:lang w:val="pl-PL"/>
        </w:rPr>
        <w:t>) na wszystkich interfejsach.</w:t>
      </w:r>
    </w:p>
    <w:p w14:paraId="0C96A91E" w14:textId="77777777" w:rsidR="00A2175E" w:rsidRPr="00A2175E" w:rsidRDefault="00A2175E" w:rsidP="00A2175E">
      <w:pPr>
        <w:ind w:left="2127" w:hanging="1418"/>
        <w:rPr>
          <w:rFonts w:cstheme="minorHAnsi"/>
          <w:lang w:val="pl-PL"/>
        </w:rPr>
      </w:pPr>
      <w:r w:rsidRPr="00A2175E">
        <w:rPr>
          <w:rFonts w:cstheme="minorHAnsi"/>
          <w:lang w:val="pl-PL"/>
        </w:rPr>
        <w:t>jest:</w:t>
      </w:r>
      <w:r w:rsidRPr="00A2175E">
        <w:rPr>
          <w:rFonts w:cstheme="minorHAnsi"/>
          <w:lang w:val="pl-PL"/>
        </w:rPr>
        <w:tab/>
        <w:t>Przełącznik musi obsługiwać ramki jumbo (</w:t>
      </w:r>
      <w:r w:rsidRPr="00832E7B">
        <w:rPr>
          <w:rFonts w:cstheme="minorHAnsi"/>
          <w:b/>
          <w:bCs/>
          <w:lang w:val="pl-PL"/>
        </w:rPr>
        <w:t>9000 B</w:t>
      </w:r>
      <w:r w:rsidRPr="00A2175E">
        <w:rPr>
          <w:rFonts w:cstheme="minorHAnsi"/>
          <w:lang w:val="pl-PL"/>
        </w:rPr>
        <w:t>) na wszystkich interfejsach.</w:t>
      </w:r>
    </w:p>
    <w:p w14:paraId="3D33F45F" w14:textId="0B3C6535" w:rsidR="007172A9" w:rsidRDefault="002C34E3" w:rsidP="007172A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z w:val="22"/>
          <w:szCs w:val="22"/>
        </w:rPr>
        <w:t>Zmiany w SIWZ oraz w załącznikach nr 4a i 4b do SIWZ (odpowiednio SOPZ do części 1. i 2. postępowania) wraz z załącznikami nanosi się odpowiednio w załączniku nr 1. do SIWZ – Formularzu ofertowym wraz z załącznikami, w załączniku nr 5a do SIWZ – Wykaz dostaw i usług, w załączniku nr 5b do SIWZ – Wykaz dostaw oraz w załączniku nr 6. do SIWZ Wykaz osób.</w:t>
      </w:r>
      <w:r w:rsidRPr="00313439">
        <w:rPr>
          <w:rFonts w:cstheme="minorHAnsi"/>
        </w:rPr>
        <w:t xml:space="preserve"> </w:t>
      </w:r>
    </w:p>
    <w:p w14:paraId="270365FE" w14:textId="77777777" w:rsidR="007172A9" w:rsidRPr="007172A9" w:rsidRDefault="007172A9" w:rsidP="007172A9">
      <w:pPr>
        <w:pStyle w:val="Akapitzlist"/>
        <w:rPr>
          <w:rFonts w:cstheme="minorHAnsi"/>
        </w:rPr>
      </w:pPr>
    </w:p>
    <w:p w14:paraId="23D3F06B" w14:textId="409D3A71" w:rsidR="007172A9" w:rsidRPr="00CF2886" w:rsidRDefault="007172A9" w:rsidP="00CF2886">
      <w:pPr>
        <w:pStyle w:val="Akapitzlist"/>
        <w:numPr>
          <w:ilvl w:val="0"/>
          <w:numId w:val="2"/>
        </w:numPr>
        <w:spacing w:after="0" w:line="240" w:lineRule="auto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 SIWZ (rozdz. XI, miejsce otwarcia ofert) zmienia się miejsce otwarcia ofert na następujące:</w:t>
      </w:r>
    </w:p>
    <w:p w14:paraId="47532E69" w14:textId="0ABEF8E4" w:rsidR="007172A9" w:rsidRPr="007172A9" w:rsidRDefault="007172A9" w:rsidP="007172A9">
      <w:pPr>
        <w:pStyle w:val="Akapitzlist"/>
        <w:spacing w:after="0" w:line="240" w:lineRule="auto"/>
        <w:rPr>
          <w:bCs/>
          <w:sz w:val="24"/>
          <w:szCs w:val="24"/>
          <w:lang w:eastAsia="pl-PL"/>
        </w:rPr>
      </w:pPr>
      <w:r w:rsidRPr="007172A9">
        <w:rPr>
          <w:bCs/>
          <w:sz w:val="24"/>
          <w:szCs w:val="24"/>
          <w:lang w:eastAsia="pl-PL"/>
        </w:rPr>
        <w:t>Urząd Marszałkowski Województwa Wielkopolskiego w Poznaniu</w:t>
      </w:r>
    </w:p>
    <w:p w14:paraId="5D285460" w14:textId="77777777" w:rsidR="007172A9" w:rsidRPr="007172A9" w:rsidRDefault="007172A9" w:rsidP="007172A9">
      <w:pPr>
        <w:spacing w:after="0" w:line="240" w:lineRule="auto"/>
        <w:ind w:firstLine="720"/>
        <w:rPr>
          <w:bCs/>
          <w:sz w:val="24"/>
          <w:szCs w:val="24"/>
          <w:lang w:eastAsia="pl-PL"/>
        </w:rPr>
      </w:pPr>
      <w:r w:rsidRPr="007172A9">
        <w:rPr>
          <w:bCs/>
          <w:sz w:val="24"/>
          <w:szCs w:val="24"/>
          <w:lang w:eastAsia="pl-PL"/>
        </w:rPr>
        <w:t>Biuro Geodety Województwa</w:t>
      </w:r>
    </w:p>
    <w:p w14:paraId="6F39C5BB" w14:textId="77777777" w:rsidR="007172A9" w:rsidRPr="007172A9" w:rsidRDefault="007172A9" w:rsidP="007172A9">
      <w:pPr>
        <w:spacing w:after="0" w:line="240" w:lineRule="auto"/>
        <w:ind w:firstLine="720"/>
        <w:rPr>
          <w:bCs/>
          <w:sz w:val="24"/>
          <w:szCs w:val="24"/>
          <w:lang w:eastAsia="pl-PL"/>
        </w:rPr>
      </w:pPr>
      <w:r w:rsidRPr="007172A9">
        <w:rPr>
          <w:bCs/>
          <w:iCs/>
          <w:sz w:val="24"/>
          <w:szCs w:val="24"/>
          <w:lang w:eastAsia="pl-PL"/>
        </w:rPr>
        <w:t>ul. Kościuszki 95</w:t>
      </w:r>
    </w:p>
    <w:p w14:paraId="1663957E" w14:textId="77777777" w:rsidR="007172A9" w:rsidRPr="007172A9" w:rsidRDefault="007172A9" w:rsidP="007172A9">
      <w:pPr>
        <w:spacing w:after="0" w:line="240" w:lineRule="auto"/>
        <w:ind w:firstLine="720"/>
        <w:rPr>
          <w:bCs/>
          <w:sz w:val="24"/>
          <w:szCs w:val="24"/>
          <w:lang w:eastAsia="pl-PL"/>
        </w:rPr>
      </w:pPr>
      <w:r w:rsidRPr="007172A9">
        <w:rPr>
          <w:bCs/>
          <w:iCs/>
          <w:sz w:val="24"/>
          <w:szCs w:val="24"/>
          <w:lang w:eastAsia="pl-PL"/>
        </w:rPr>
        <w:t>61-716 Poznań</w:t>
      </w:r>
    </w:p>
    <w:p w14:paraId="056AAE50" w14:textId="5E8C71C1" w:rsidR="007172A9" w:rsidRPr="007172A9" w:rsidRDefault="007172A9" w:rsidP="007172A9">
      <w:pPr>
        <w:spacing w:after="0" w:line="240" w:lineRule="auto"/>
        <w:ind w:firstLine="720"/>
        <w:rPr>
          <w:bCs/>
          <w:sz w:val="24"/>
          <w:szCs w:val="24"/>
          <w:u w:val="single"/>
        </w:rPr>
      </w:pPr>
      <w:r w:rsidRPr="007172A9">
        <w:rPr>
          <w:bCs/>
          <w:sz w:val="24"/>
          <w:szCs w:val="24"/>
          <w:u w:val="single"/>
        </w:rPr>
        <w:t xml:space="preserve">sala </w:t>
      </w:r>
      <w:r>
        <w:rPr>
          <w:bCs/>
          <w:sz w:val="24"/>
          <w:szCs w:val="24"/>
          <w:u w:val="single"/>
        </w:rPr>
        <w:t xml:space="preserve">nr </w:t>
      </w:r>
      <w:r w:rsidRPr="007172A9">
        <w:rPr>
          <w:bCs/>
          <w:sz w:val="24"/>
          <w:szCs w:val="24"/>
          <w:u w:val="single"/>
        </w:rPr>
        <w:t>103</w:t>
      </w:r>
    </w:p>
    <w:p w14:paraId="2897122C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14:paraId="46A0EABE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14:paraId="265A4850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14:paraId="7094F994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14:paraId="140246A0" w14:textId="6C178D5D" w:rsidR="007172A9" w:rsidRP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  <w:bookmarkStart w:id="13" w:name="_GoBack"/>
      <w:bookmarkEnd w:id="13"/>
    </w:p>
    <w:sectPr w:rsidR="007172A9" w:rsidRPr="00CF288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1A57" w14:textId="77777777" w:rsidR="0034364C" w:rsidRDefault="0034364C" w:rsidP="009731AC">
      <w:pPr>
        <w:spacing w:after="0" w:line="240" w:lineRule="auto"/>
      </w:pPr>
      <w:r>
        <w:separator/>
      </w:r>
    </w:p>
  </w:endnote>
  <w:endnote w:type="continuationSeparator" w:id="0">
    <w:p w14:paraId="2D6A5F6C" w14:textId="77777777" w:rsidR="0034364C" w:rsidRDefault="0034364C" w:rsidP="0097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349D" w14:textId="77777777" w:rsidR="003D5EB8" w:rsidRDefault="003D5EB8" w:rsidP="003D5EB8">
    <w:pPr>
      <w:pStyle w:val="Stopka"/>
      <w:jc w:val="center"/>
    </w:pPr>
    <w:r w:rsidRPr="00F45712">
      <w:rPr>
        <w:noProof/>
        <w:lang w:val="pl-PL" w:eastAsia="pl-PL"/>
      </w:rPr>
      <w:drawing>
        <wp:inline distT="0" distB="0" distL="0" distR="0" wp14:anchorId="1E5974EB" wp14:editId="68E7204E">
          <wp:extent cx="5495290" cy="2476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AAF72" w14:textId="30D40A41" w:rsidR="003D5EB8" w:rsidRDefault="003D5EB8" w:rsidP="003D5EB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2886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2886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8805A" w14:textId="77777777" w:rsidR="0034364C" w:rsidRDefault="0034364C" w:rsidP="009731AC">
      <w:pPr>
        <w:spacing w:after="0" w:line="240" w:lineRule="auto"/>
      </w:pPr>
      <w:r>
        <w:separator/>
      </w:r>
    </w:p>
  </w:footnote>
  <w:footnote w:type="continuationSeparator" w:id="0">
    <w:p w14:paraId="76D63DC6" w14:textId="77777777" w:rsidR="0034364C" w:rsidRDefault="0034364C" w:rsidP="0097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28" w:type="dxa"/>
        <w:left w:w="52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08"/>
      <w:gridCol w:w="8024"/>
    </w:tblGrid>
    <w:tr w:rsidR="003D5EB8" w14:paraId="6FB95B3E" w14:textId="77777777" w:rsidTr="0009352E">
      <w:trPr>
        <w:cantSplit/>
        <w:trHeight w:val="957"/>
        <w:jc w:val="center"/>
      </w:trPr>
      <w:tc>
        <w:tcPr>
          <w:tcW w:w="1053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026ECCF4" w14:textId="77777777" w:rsidR="003D5EB8" w:rsidRDefault="003D5EB8" w:rsidP="0009352E">
          <w:pPr>
            <w:pStyle w:val="Domylny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767DBA" wp14:editId="09C1F1B6">
                <wp:simplePos x="0" y="0"/>
                <wp:positionH relativeFrom="column">
                  <wp:posOffset>137795</wp:posOffset>
                </wp:positionH>
                <wp:positionV relativeFrom="paragraph">
                  <wp:posOffset>-3810</wp:posOffset>
                </wp:positionV>
                <wp:extent cx="6364605" cy="521970"/>
                <wp:effectExtent l="0" t="0" r="0" b="0"/>
                <wp:wrapNone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460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D5EB8" w:rsidRPr="008C2A48" w14:paraId="25AFA74E" w14:textId="77777777" w:rsidTr="0009352E">
      <w:trPr>
        <w:cantSplit/>
        <w:jc w:val="center"/>
      </w:trPr>
      <w:tc>
        <w:tcPr>
          <w:tcW w:w="25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34EE58FB" w14:textId="77777777" w:rsidR="003D5EB8" w:rsidRDefault="003D5EB8" w:rsidP="0009352E">
          <w:pPr>
            <w:pStyle w:val="9Styldonagwka"/>
          </w:pPr>
          <w:r>
            <w:t>Zamówienie:</w:t>
          </w:r>
        </w:p>
      </w:tc>
      <w:tc>
        <w:tcPr>
          <w:tcW w:w="802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36D85E8A" w14:textId="77777777" w:rsidR="003D5EB8" w:rsidRPr="0075578A" w:rsidRDefault="003D5EB8" w:rsidP="0009352E">
          <w:pPr>
            <w:pStyle w:val="Domylny"/>
            <w:spacing w:after="0"/>
            <w:jc w:val="cen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75578A">
            <w:rPr>
              <w:rFonts w:asciiTheme="minorHAnsi" w:hAnsiTheme="minorHAnsi" w:cstheme="minorHAnsi"/>
              <w:i/>
              <w:sz w:val="16"/>
              <w:szCs w:val="16"/>
            </w:rPr>
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</w:r>
        </w:p>
      </w:tc>
    </w:tr>
    <w:tr w:rsidR="003D5EB8" w14:paraId="3D39476B" w14:textId="77777777" w:rsidTr="0009352E">
      <w:trPr>
        <w:cantSplit/>
        <w:jc w:val="center"/>
      </w:trPr>
      <w:tc>
        <w:tcPr>
          <w:tcW w:w="1053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5EB226A3" w14:textId="06136661" w:rsidR="003D5EB8" w:rsidRDefault="003D5EB8" w:rsidP="0009352E">
          <w:pPr>
            <w:pStyle w:val="Gwka"/>
            <w:spacing w:before="0" w:after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Autopoprawki do dokumentacji przetargowej</w:t>
          </w:r>
          <w:r w:rsidR="00313439">
            <w:rPr>
              <w:rFonts w:ascii="Calibri" w:hAnsi="Calibri" w:cs="Calibri"/>
              <w:sz w:val="16"/>
              <w:szCs w:val="16"/>
            </w:rPr>
            <w:t xml:space="preserve"> stanowiące integralną część Specyfikacji Istotnych Warunków Zamówienia</w:t>
          </w:r>
        </w:p>
        <w:p w14:paraId="73812A1B" w14:textId="77777777" w:rsidR="003D5EB8" w:rsidRDefault="003D5EB8" w:rsidP="0009352E">
          <w:pPr>
            <w:pStyle w:val="Gwka"/>
            <w:spacing w:before="0" w:after="0"/>
            <w:jc w:val="center"/>
          </w:pPr>
          <w:r>
            <w:rPr>
              <w:rFonts w:ascii="Calibri" w:hAnsi="Calibri" w:cs="Calibri"/>
              <w:sz w:val="16"/>
              <w:szCs w:val="16"/>
            </w:rPr>
            <w:t>nr sprawy BGW-III.272.2.2017</w:t>
          </w:r>
        </w:p>
      </w:tc>
    </w:tr>
  </w:tbl>
  <w:p w14:paraId="5975A637" w14:textId="77777777" w:rsidR="003D5EB8" w:rsidRPr="002C6B7D" w:rsidRDefault="003D5EB8" w:rsidP="003D5EB8">
    <w:pPr>
      <w:pStyle w:val="Gwka"/>
      <w:spacing w:before="0" w:after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multilevel"/>
    <w:tmpl w:val="23420AC4"/>
    <w:lvl w:ilvl="0">
      <w:start w:val="1"/>
      <w:numFmt w:val="decimal"/>
      <w:pStyle w:val="24G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118" w:hanging="432"/>
      </w:pPr>
      <w:rPr>
        <w:rFonts w:cs="Times New Roman"/>
      </w:rPr>
    </w:lvl>
    <w:lvl w:ilvl="2">
      <w:start w:val="1"/>
      <w:numFmt w:val="decimal"/>
      <w:pStyle w:val="24GI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67593A"/>
    <w:multiLevelType w:val="hybridMultilevel"/>
    <w:tmpl w:val="9918A726"/>
    <w:lvl w:ilvl="0" w:tplc="DA708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96A"/>
    <w:multiLevelType w:val="multilevel"/>
    <w:tmpl w:val="F0F6A0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  <w:b/>
        <w:sz w:val="22"/>
      </w:rPr>
    </w:lvl>
  </w:abstractNum>
  <w:abstractNum w:abstractNumId="3" w15:restartNumberingAfterBreak="0">
    <w:nsid w:val="65B35220"/>
    <w:multiLevelType w:val="hybridMultilevel"/>
    <w:tmpl w:val="AED23B20"/>
    <w:lvl w:ilvl="0" w:tplc="A468A8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04D2B"/>
    <w:multiLevelType w:val="hybridMultilevel"/>
    <w:tmpl w:val="4824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6FC7"/>
    <w:multiLevelType w:val="multilevel"/>
    <w:tmpl w:val="F064DF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D"/>
    <w:rsid w:val="00013044"/>
    <w:rsid w:val="00085047"/>
    <w:rsid w:val="000D2D48"/>
    <w:rsid w:val="0012396E"/>
    <w:rsid w:val="00195C43"/>
    <w:rsid w:val="001B7F6E"/>
    <w:rsid w:val="001E08D6"/>
    <w:rsid w:val="001F1360"/>
    <w:rsid w:val="00280D36"/>
    <w:rsid w:val="002C34E3"/>
    <w:rsid w:val="002C6F1C"/>
    <w:rsid w:val="002E3CED"/>
    <w:rsid w:val="00313439"/>
    <w:rsid w:val="0034364C"/>
    <w:rsid w:val="00354CB7"/>
    <w:rsid w:val="003632D6"/>
    <w:rsid w:val="003D5EB8"/>
    <w:rsid w:val="00400281"/>
    <w:rsid w:val="004022AA"/>
    <w:rsid w:val="00427268"/>
    <w:rsid w:val="00501F86"/>
    <w:rsid w:val="00570D68"/>
    <w:rsid w:val="005842E6"/>
    <w:rsid w:val="005C22AD"/>
    <w:rsid w:val="00607841"/>
    <w:rsid w:val="006F0CFD"/>
    <w:rsid w:val="007172A9"/>
    <w:rsid w:val="00730A6E"/>
    <w:rsid w:val="0073233A"/>
    <w:rsid w:val="00756087"/>
    <w:rsid w:val="007657EA"/>
    <w:rsid w:val="007D356D"/>
    <w:rsid w:val="00832E7B"/>
    <w:rsid w:val="00863AF1"/>
    <w:rsid w:val="0087261B"/>
    <w:rsid w:val="008C2A48"/>
    <w:rsid w:val="008E3FF6"/>
    <w:rsid w:val="00926F38"/>
    <w:rsid w:val="009731AC"/>
    <w:rsid w:val="009D16AC"/>
    <w:rsid w:val="00A2175E"/>
    <w:rsid w:val="00B20697"/>
    <w:rsid w:val="00B339DD"/>
    <w:rsid w:val="00B60C6E"/>
    <w:rsid w:val="00B837EC"/>
    <w:rsid w:val="00BD488E"/>
    <w:rsid w:val="00C44453"/>
    <w:rsid w:val="00C62B2C"/>
    <w:rsid w:val="00C63BBF"/>
    <w:rsid w:val="00CE0AD9"/>
    <w:rsid w:val="00CF2886"/>
    <w:rsid w:val="00D00461"/>
    <w:rsid w:val="00D016A6"/>
    <w:rsid w:val="00D44D46"/>
    <w:rsid w:val="00D714AE"/>
    <w:rsid w:val="00D862AC"/>
    <w:rsid w:val="00E2311F"/>
    <w:rsid w:val="00E27ED9"/>
    <w:rsid w:val="00E40D2D"/>
    <w:rsid w:val="00EA00B3"/>
    <w:rsid w:val="00F704D6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962"/>
  <w15:docId w15:val="{16B4DBEA-B9E7-46D4-94D2-B549625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F0CFD"/>
    <w:pPr>
      <w:keepNext/>
      <w:keepLines/>
      <w:numPr>
        <w:ilvl w:val="1"/>
        <w:numId w:val="6"/>
      </w:numPr>
      <w:spacing w:before="200" w:after="120" w:line="276" w:lineRule="auto"/>
      <w:jc w:val="both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44453"/>
    <w:rPr>
      <w:rFonts w:cs="Times New Roman"/>
      <w:sz w:val="16"/>
      <w:szCs w:val="16"/>
    </w:rPr>
  </w:style>
  <w:style w:type="paragraph" w:styleId="Akapitzlist">
    <w:name w:val="List Paragraph"/>
    <w:aliases w:val="A_wyliczenie,K-P_odwolanie,Akapit z listą5,maz_wyliczenie,opis dzialania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1F1360"/>
    <w:pPr>
      <w:ind w:left="720"/>
      <w:contextualSpacing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AkapitzlistZnak">
    <w:name w:val="Akapit z listą Znak"/>
    <w:aliases w:val="A_wyliczenie Znak,K-P_odwolanie Znak,Akapit z listą5 Znak,maz_wyliczenie Znak,opis dzialania Znak,Kropki Znak,Akapit z listą BS Znak,L1 Znak,Numerowanie Znak,CP-UC Znak,CP-Punkty Znak,Bullet List Znak,List - bullets Znak,b1 Znak"/>
    <w:basedOn w:val="Domylnaczcionkaakapitu"/>
    <w:link w:val="Akapitzlist"/>
    <w:uiPriority w:val="34"/>
    <w:qFormat/>
    <w:locked/>
    <w:rsid w:val="001F1360"/>
    <w:rPr>
      <w:rFonts w:ascii="Calibri" w:eastAsia="Calibri" w:hAnsi="Calibri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1304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1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6F0CFD"/>
    <w:rPr>
      <w:rFonts w:ascii="Exo 2.0 Light" w:eastAsia="Times New Roman" w:hAnsi="Exo 2.0 Light" w:cs="Times New Roman"/>
      <w:bCs/>
      <w:color w:val="C00000"/>
      <w:sz w:val="32"/>
      <w:szCs w:val="26"/>
      <w:lang w:val="pl-PL"/>
    </w:rPr>
  </w:style>
  <w:style w:type="paragraph" w:customStyle="1" w:styleId="24GIS1">
    <w:name w:val="24GIS 1"/>
    <w:next w:val="Normalny"/>
    <w:rsid w:val="006F0CFD"/>
    <w:pPr>
      <w:numPr>
        <w:numId w:val="6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val="pl-PL" w:eastAsia="pl-PL"/>
    </w:rPr>
  </w:style>
  <w:style w:type="paragraph" w:customStyle="1" w:styleId="24GIS3">
    <w:name w:val="24GIS 3"/>
    <w:basedOn w:val="Normalny"/>
    <w:next w:val="Normalny"/>
    <w:rsid w:val="006F0CFD"/>
    <w:pPr>
      <w:numPr>
        <w:ilvl w:val="2"/>
        <w:numId w:val="6"/>
      </w:numPr>
      <w:spacing w:after="200" w:line="276" w:lineRule="auto"/>
      <w:outlineLvl w:val="2"/>
    </w:pPr>
    <w:rPr>
      <w:rFonts w:ascii="Exo 2.0 Light" w:eastAsia="Times New Roman" w:hAnsi="Exo 2.0 Light" w:cs="Times New Roman"/>
      <w:color w:val="C00000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B8"/>
  </w:style>
  <w:style w:type="paragraph" w:styleId="Stopka">
    <w:name w:val="footer"/>
    <w:basedOn w:val="Normalny"/>
    <w:link w:val="StopkaZnak"/>
    <w:uiPriority w:val="99"/>
    <w:unhideWhenUsed/>
    <w:rsid w:val="003D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B8"/>
  </w:style>
  <w:style w:type="paragraph" w:customStyle="1" w:styleId="Domylny">
    <w:name w:val="Domyślny"/>
    <w:rsid w:val="003D5EB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ka">
    <w:name w:val="Główka"/>
    <w:basedOn w:val="Domylny"/>
    <w:rsid w:val="003D5EB8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9Styldonagwka">
    <w:name w:val="9 Styl do nagłówka"/>
    <w:basedOn w:val="Domylny"/>
    <w:rsid w:val="003D5EB8"/>
    <w:pPr>
      <w:jc w:val="center"/>
    </w:pPr>
    <w:rPr>
      <w:rFonts w:ascii="Calibri" w:eastAsia="Calibri" w:hAnsi="Calibri" w:cs="Calibri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3439"/>
    <w:rPr>
      <w:b/>
      <w:bCs/>
    </w:rPr>
  </w:style>
  <w:style w:type="paragraph" w:customStyle="1" w:styleId="Default">
    <w:name w:val="Default"/>
    <w:rsid w:val="00313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4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04D6"/>
    <w:pPr>
      <w:spacing w:after="120" w:line="480" w:lineRule="auto"/>
      <w:ind w:left="283"/>
    </w:pPr>
    <w:rPr>
      <w:rFonts w:ascii="Calibri" w:eastAsia="Times New Roman" w:hAnsi="Calibri" w:cs="Calibri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04D6"/>
    <w:rPr>
      <w:rFonts w:ascii="Calibri" w:eastAsia="Times New Roman" w:hAnsi="Calibri" w:cs="Calibri"/>
      <w:lang w:val="pl-PL" w:eastAsia="pl-PL"/>
    </w:rPr>
  </w:style>
  <w:style w:type="paragraph" w:customStyle="1" w:styleId="Tekstpodstawowy21">
    <w:name w:val="Tekst podstawowy 21"/>
    <w:basedOn w:val="Normalny"/>
    <w:qFormat/>
    <w:rsid w:val="00CF2886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1918</Words>
  <Characters>11512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Hoffman Maciej</cp:lastModifiedBy>
  <cp:revision>7</cp:revision>
  <dcterms:created xsi:type="dcterms:W3CDTF">2019-09-17T12:15:00Z</dcterms:created>
  <dcterms:modified xsi:type="dcterms:W3CDTF">2019-09-17T13:19:00Z</dcterms:modified>
</cp:coreProperties>
</file>