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jc w:val="center"/>
        <w:rPr>
          <w:rFonts w:cs="Calibri"/>
          <w:b/>
          <w:b/>
        </w:rPr>
      </w:pPr>
      <w:r>
        <w:rPr>
          <w:rFonts w:cs="Calibri"/>
          <w:b/>
          <w:color w:val="000000"/>
        </w:rPr>
        <w:t>Załącznik nr 4</w:t>
      </w:r>
      <w:bookmarkStart w:id="0" w:name="_GoBack"/>
      <w:bookmarkEnd w:id="0"/>
      <w:r>
        <w:rPr>
          <w:rFonts w:cs="Calibri"/>
          <w:b/>
          <w:color w:val="000000"/>
        </w:rPr>
        <w:t xml:space="preserve"> do SIWZ</w:t>
      </w:r>
    </w:p>
    <w:p>
      <w:pPr>
        <w:pStyle w:val="Normal"/>
        <w:rPr>
          <w:rFonts w:cs="Calibri"/>
        </w:rPr>
      </w:pPr>
      <w:r>
        <w:rPr>
          <w:rFonts w:cs="Calibri"/>
          <w:color w:val="000000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rFonts w:cs="Calibri"/>
          <w:b/>
          <w:b/>
          <w:szCs w:val="24"/>
        </w:rPr>
      </w:pPr>
      <w:r>
        <w:rPr>
          <w:rFonts w:cs="Calibri"/>
          <w:b/>
          <w:color w:val="000000"/>
          <w:szCs w:val="24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rFonts w:cs="Calibri"/>
          <w:b/>
          <w:b/>
          <w:szCs w:val="24"/>
        </w:rPr>
      </w:pPr>
      <w:r>
        <w:rPr>
          <w:rFonts w:cs="Calibri"/>
          <w:b/>
          <w:color w:val="000000"/>
          <w:szCs w:val="24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rFonts w:cs="Calibri"/>
          <w:b/>
          <w:b/>
          <w:szCs w:val="24"/>
        </w:rPr>
      </w:pPr>
      <w:r>
        <w:rPr>
          <w:rFonts w:cs="Calibri"/>
          <w:b/>
          <w:color w:val="000000"/>
          <w:szCs w:val="24"/>
        </w:rPr>
      </w:r>
    </w:p>
    <w:p>
      <w:pPr>
        <w:pStyle w:val="Tekstpodstawowy21"/>
        <w:snapToGrid w:val="false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WOJEWÓDZTWO WIELKOPOLSKIE Z SIEDZIBĄ</w:t>
        <w:br/>
        <w:t>URZĘDU MARSZAŁKOWSKIEGO</w:t>
      </w:r>
    </w:p>
    <w:p>
      <w:pPr>
        <w:pStyle w:val="Tekstpodstawowy21"/>
        <w:snapToGrid w:val="false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WOJEWÓDZTWA WIELKOPOLSKIEGO w POZNANIU</w:t>
      </w:r>
    </w:p>
    <w:p>
      <w:pPr>
        <w:pStyle w:val="Tekstpodstawowy21"/>
        <w:snapToGrid w:val="false"/>
        <w:jc w:val="left"/>
        <w:rPr>
          <w:rFonts w:ascii="Calibri" w:hAnsi="Calibri" w:cs="Calibri"/>
          <w:b w:val="false"/>
          <w:b w:val="false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al. Niepodległości 34, 61-714 Poznań</w:t>
      </w:r>
    </w:p>
    <w:p>
      <w:pPr>
        <w:pStyle w:val="Tekstpodstawowy21"/>
        <w:snapToGrid w:val="false"/>
        <w:jc w:val="left"/>
        <w:rPr>
          <w:rFonts w:ascii="Calibri" w:hAnsi="Calibri" w:cs="Calibri"/>
          <w:b w:val="false"/>
          <w:b w:val="false"/>
          <w:sz w:val="24"/>
          <w:szCs w:val="24"/>
        </w:rPr>
      </w:pPr>
      <w:r>
        <w:rPr>
          <w:rFonts w:cs="Calibri" w:ascii="Calibri" w:hAnsi="Calibri"/>
          <w:b w:val="false"/>
          <w:color w:val="000000"/>
          <w:sz w:val="24"/>
          <w:szCs w:val="24"/>
        </w:rPr>
      </w:r>
    </w:p>
    <w:p>
      <w:pPr>
        <w:pStyle w:val="Normal"/>
        <w:rPr>
          <w:rFonts w:ascii="Myriad Pro" w:hAnsi="Myriad Pro"/>
          <w:sz w:val="36"/>
        </w:rPr>
      </w:pPr>
      <w:r>
        <w:rPr>
          <w:rFonts w:ascii="Myriad Pro" w:hAnsi="Myriad Pro"/>
          <w:color w:val="000000"/>
          <w:sz w:val="3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32"/>
        </w:rPr>
      </w:pPr>
      <w:bookmarkStart w:id="1" w:name="_Toc26522241"/>
      <w:r>
        <w:rPr>
          <w:rFonts w:cs="Calibri" w:cstheme="minorHAnsi"/>
          <w:b/>
          <w:color w:val="000000"/>
          <w:sz w:val="32"/>
        </w:rPr>
        <w:t>Szczegółowy opis przedmiotu zamówienia</w:t>
      </w:r>
      <w:bookmarkEnd w:id="1"/>
      <w:r>
        <w:rPr>
          <w:rFonts w:cs="Calibri" w:cstheme="minorHAnsi"/>
          <w:b/>
          <w:color w:val="000000"/>
          <w:sz w:val="32"/>
        </w:rPr>
        <w:t xml:space="preserve"> </w:t>
      </w:r>
    </w:p>
    <w:p>
      <w:pPr>
        <w:pStyle w:val="Tekstpodstawowy21"/>
        <w:snapToGrid w:val="false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w postępowaniu o udzielenie zamówienia publicznego</w:t>
      </w:r>
    </w:p>
    <w:p>
      <w:pPr>
        <w:pStyle w:val="Tekstpodstawowy21"/>
        <w:snapToGrid w:val="false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w trybie przetargu nieograniczonego pn.:</w:t>
      </w:r>
    </w:p>
    <w:p>
      <w:pPr>
        <w:pStyle w:val="Tekstpodstawowy21"/>
        <w:snapToGrid w:val="false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Tekstpodstawowy21"/>
        <w:snapToGrid w:val="false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„</w:t>
      </w:r>
      <w:r>
        <w:rPr>
          <w:rFonts w:cs="Calibri" w:cstheme="minorHAnsi"/>
          <w:bCs/>
          <w:color w:val="000000"/>
          <w:sz w:val="24"/>
          <w:szCs w:val="24"/>
        </w:rPr>
        <w:t>Dostawa biurowego sprzętu informatycznego z oprogramowaniem standardowym oraz dostawa urządzenia do kolorowego i monochromatycznego drukowania, kopiowania i skanowania wielkoformatowych dokumentów”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 warto</w:t>
      </w:r>
      <w:r>
        <w:rPr>
          <w:rFonts w:eastAsia="Arial,Bold" w:cs="Calibri" w:cstheme="minorHAnsi"/>
          <w:color w:val="000000"/>
          <w:sz w:val="24"/>
          <w:szCs w:val="24"/>
        </w:rPr>
        <w:t>ś</w:t>
      </w:r>
      <w:r>
        <w:rPr>
          <w:rFonts w:cs="Calibri" w:cstheme="minorHAnsi"/>
          <w:color w:val="000000"/>
          <w:sz w:val="24"/>
          <w:szCs w:val="24"/>
        </w:rPr>
        <w:t>ci zamówienia przekraczaj</w:t>
      </w:r>
      <w:r>
        <w:rPr>
          <w:rFonts w:eastAsia="Arial,Bold" w:cs="Calibri" w:cstheme="minorHAnsi"/>
          <w:color w:val="000000"/>
          <w:sz w:val="24"/>
          <w:szCs w:val="24"/>
        </w:rPr>
        <w:t>ą</w:t>
      </w:r>
      <w:r>
        <w:rPr>
          <w:rFonts w:cs="Calibri" w:cstheme="minorHAnsi"/>
          <w:color w:val="000000"/>
          <w:sz w:val="24"/>
          <w:szCs w:val="24"/>
        </w:rPr>
        <w:t>cej kwotę okre</w:t>
      </w:r>
      <w:r>
        <w:rPr>
          <w:rFonts w:eastAsia="Arial,Bold" w:cs="Calibri" w:cstheme="minorHAnsi"/>
          <w:color w:val="000000"/>
          <w:sz w:val="24"/>
          <w:szCs w:val="24"/>
        </w:rPr>
        <w:t>ś</w:t>
      </w:r>
      <w:r>
        <w:rPr>
          <w:rFonts w:cs="Calibri" w:cstheme="minorHAnsi"/>
          <w:color w:val="000000"/>
          <w:sz w:val="24"/>
          <w:szCs w:val="24"/>
        </w:rPr>
        <w:t>loną w przepisach wydanych na podstawie art. 11 ust. 8 ustawy z dnia 29 stycznia 2004 r. Prawo zamówie</w:t>
      </w:r>
      <w:r>
        <w:rPr>
          <w:rFonts w:eastAsia="Arial,Bold" w:cs="Calibri" w:cstheme="minorHAnsi"/>
          <w:color w:val="000000"/>
          <w:sz w:val="24"/>
          <w:szCs w:val="24"/>
        </w:rPr>
        <w:t xml:space="preserve">ń </w:t>
      </w:r>
      <w:r>
        <w:rPr>
          <w:rFonts w:cs="Calibri" w:cstheme="minorHAnsi"/>
          <w:color w:val="000000"/>
          <w:sz w:val="24"/>
          <w:szCs w:val="24"/>
        </w:rPr>
        <w:t>publicznych (tekst jednolity: Dz. U. z 2019 r., poz. 1843)</w:t>
      </w:r>
    </w:p>
    <w:p>
      <w:pPr>
        <w:pStyle w:val="Tekstpodstawowy21"/>
        <w:snapToGrid w:val="false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Tekstpodstawowy21"/>
        <w:snapToGrid w:val="false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Tekstpodstawowy21"/>
        <w:snapToGrid w:val="false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Tekstpodstawowy21"/>
        <w:snapToGrid w:val="false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Tekstpodstawowy21"/>
        <w:snapToGrid w:val="false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Tekstpodstawowy21"/>
        <w:snapToGrid w:val="false"/>
        <w:ind w:left="2124" w:hanging="0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color w:val="000000"/>
          <w:sz w:val="24"/>
          <w:szCs w:val="24"/>
        </w:rPr>
      </w:r>
    </w:p>
    <w:p>
      <w:pPr>
        <w:pStyle w:val="Tekstpodstawowy21"/>
        <w:snapToGrid w:val="false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color w:val="000000"/>
          <w:sz w:val="24"/>
          <w:szCs w:val="24"/>
        </w:rPr>
        <w:t>Poznań, maj 2020 r.</w:t>
      </w:r>
    </w:p>
    <w:p>
      <w:pPr>
        <w:pStyle w:val="Tekstpodstawowy21"/>
        <w:snapToGrid w:val="false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color w:val="000000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970" w:bottom="1417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center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>Znak sprawy: BGW-III.272.1.2020</w:t>
      </w:r>
    </w:p>
    <w:p>
      <w:pPr>
        <w:pStyle w:val="TOCHeading"/>
        <w:rPr>
          <w:rFonts w:ascii="Exo 2.0 Medium" w:hAnsi="Exo 2.0 Medium"/>
          <w:color w:val="auto"/>
        </w:rPr>
      </w:pPr>
      <w:r>
        <w:rPr>
          <w:rFonts w:ascii="Exo 2.0 Medium" w:hAnsi="Exo 2.0 Medium"/>
          <w:color w:val="000000"/>
        </w:rPr>
        <w:t>Spis treści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pistreci1"/>
            <w:rPr>
              <w:rFonts w:ascii="Calibri" w:hAnsi="Calibri" w:eastAsia="" w:cs="Arial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  <w:lang w:eastAsia="pl-PL"/>
            </w:rPr>
          </w:pPr>
          <w:r>
            <w:fldChar w:fldCharType="begin"/>
          </w:r>
          <w:r>
            <w:rPr>
              <w:color w:val="000000"/>
            </w:rPr>
            <w:instrText> TOC \z \o "1-3" \u \h</w:instrText>
          </w:r>
          <w:r>
            <w:rPr>
              <w:color w:val="000000"/>
            </w:rPr>
            <w:fldChar w:fldCharType="separate"/>
          </w:r>
          <w:r>
            <w:rPr>
              <w:color w:val="000000"/>
            </w:rPr>
            <w:t>1. WSTĘP</w:t>
          </w:r>
          <w:r>
            <w:rPr>
              <w:b w:val="false"/>
              <w:color w:val="000000"/>
            </w:rPr>
            <w:t>………………………………………………………………………………………………..………………………………………………………….3</w:t>
          </w:r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43">
            <w:r>
              <w:rPr>
                <w:webHidden/>
                <w:rStyle w:val="Czeindeksu"/>
                <w:vanish w:val="false"/>
                <w:color w:val="000000"/>
              </w:rPr>
              <w:t>1.1.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Przedmiot zamówienia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_Toc26522243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44">
            <w:r>
              <w:rPr>
                <w:webHidden/>
                <w:rStyle w:val="Czeindeksu"/>
                <w:vanish w:val="false"/>
                <w:color w:val="000000"/>
              </w:rPr>
              <w:t>1.2.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Zakres zamówienia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_Toc26522244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45">
            <w:r>
              <w:rPr>
                <w:webHidden/>
                <w:rStyle w:val="Czeindeksu"/>
                <w:vanish w:val="false"/>
                <w:color w:val="000000"/>
              </w:rPr>
              <w:t>1.3.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Wymagania ogólne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_Toc26522245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46">
            <w:r>
              <w:rPr>
                <w:webHidden/>
                <w:rStyle w:val="Czeindeksu"/>
                <w:vanish w:val="false"/>
                <w:color w:val="000000"/>
              </w:rPr>
              <w:t>1.4.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Wymagania dotyczące gwarancji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_Toc26522246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47">
            <w:r>
              <w:rPr>
                <w:webHidden/>
                <w:rStyle w:val="Czeindeksu"/>
                <w:vanish w:val="false"/>
                <w:color w:val="000000"/>
              </w:rPr>
              <w:t>1.5.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Miejsce dostawy sprzętu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_Toc26522247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rPr>
              <w:rFonts w:ascii="Calibri" w:hAnsi="Calibri" w:eastAsia="" w:cs="Arial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  <w:lang w:eastAsia="pl-PL"/>
            </w:rPr>
          </w:pPr>
          <w:hyperlink w:anchor="_Toc26522248">
            <w:r>
              <w:rPr>
                <w:webHidden/>
                <w:rStyle w:val="Czeindeksu"/>
                <w:vanish w:val="false"/>
                <w:color w:val="000000"/>
              </w:rPr>
              <w:t>2.</w:t>
            </w:r>
            <w:r>
              <w:rPr>
                <w:rStyle w:val="Czeindeksu"/>
                <w:rFonts w:eastAsia="" w:cs="Arial" w:cstheme="minorBidi" w:eastAsiaTheme="minorEastAsia"/>
                <w:b w:val="false"/>
                <w:caps w:val="false"/>
                <w:smallCaps w:val="false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Specyfikacja techniczna – część 1. zamówienia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_Toc26522248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49">
            <w:r>
              <w:rPr>
                <w:webHidden/>
                <w:rStyle w:val="Czeindeksu"/>
                <w:vanish w:val="false"/>
                <w:color w:val="000000"/>
              </w:rPr>
              <w:t>2.1.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Komputer stacjonarny All In One typ 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_Toc26522249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0">
            <w:r>
              <w:rPr>
                <w:webHidden/>
                <w:rStyle w:val="Czeindeksu"/>
                <w:vanish w:val="false"/>
                <w:color w:val="000000"/>
              </w:rPr>
              <w:t>2.2.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Komputer stacjonarny All In One typ B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1">
            <w:r>
              <w:rPr>
                <w:webHidden/>
                <w:rStyle w:val="Czeindeksu"/>
                <w:vanish w:val="false"/>
                <w:color w:val="000000"/>
              </w:rPr>
              <w:t>2.3.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Komputery typu Laptop typ 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2">
            <w:r>
              <w:rPr>
                <w:webHidden/>
                <w:rStyle w:val="Czeindeksu"/>
                <w:vanish w:val="false"/>
                <w:color w:val="000000"/>
              </w:rPr>
              <w:t>2.4.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Komputery typu Laptop typ B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3">
            <w:r>
              <w:rPr>
                <w:webHidden/>
                <w:rStyle w:val="Czeindeksu"/>
                <w:vanish w:val="false"/>
                <w:color w:val="000000"/>
              </w:rPr>
              <w:t>2.5.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Komputery typu Laptop typ C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4">
            <w:r>
              <w:rPr>
                <w:webHidden/>
                <w:rStyle w:val="Czeindeksu"/>
                <w:vanish w:val="false"/>
                <w:color w:val="000000"/>
              </w:rPr>
              <w:t>2.6.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Oprogramowanie biurowe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5">
            <w:r>
              <w:rPr>
                <w:webHidden/>
                <w:rStyle w:val="Czeindeksu"/>
                <w:vanish w:val="false"/>
                <w:color w:val="000000"/>
              </w:rPr>
              <w:t>2.7.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Opis równoważności systemu operacyjnego do rozdziałów 2.1. – 2.5.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6">
            <w:r>
              <w:rPr>
                <w:webHidden/>
                <w:rStyle w:val="Czeindeksu"/>
                <w:vanish w:val="false"/>
                <w:color w:val="000000"/>
              </w:rPr>
              <w:t>2.8.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Monitor typ 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7">
            <w:r>
              <w:rPr>
                <w:webHidden/>
                <w:rStyle w:val="Czeindeksu"/>
                <w:vanish w:val="false"/>
                <w:color w:val="000000"/>
              </w:rPr>
              <w:t>2.9.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Monitor typ B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8">
            <w:r>
              <w:rPr>
                <w:webHidden/>
                <w:rStyle w:val="Czeindeksu"/>
                <w:vanish w:val="false"/>
                <w:color w:val="000000"/>
              </w:rPr>
              <w:t>2.10.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Monitor typ C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59">
            <w:r>
              <w:rPr>
                <w:webHidden/>
                <w:rStyle w:val="Czeindeksu"/>
                <w:vanish w:val="false"/>
                <w:color w:val="000000"/>
              </w:rPr>
              <w:t>2.11.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Projektor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_Toc26522259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rPr>
              <w:rFonts w:ascii="Calibri" w:hAnsi="Calibri" w:eastAsia="" w:cs="Arial" w:asciiTheme="minorHAnsi" w:cstheme="minorBidi" w:eastAsiaTheme="minorEastAsia" w:hAnsiTheme="minorHAnsi"/>
              <w:b w:val="false"/>
              <w:b w:val="false"/>
              <w:caps w:val="false"/>
              <w:smallCaps w:val="false"/>
              <w:sz w:val="22"/>
              <w:szCs w:val="22"/>
              <w:lang w:eastAsia="pl-PL"/>
            </w:rPr>
          </w:pPr>
          <w:hyperlink w:anchor="_Toc26522260">
            <w:r>
              <w:rPr>
                <w:webHidden/>
                <w:rStyle w:val="Czeindeksu"/>
                <w:vanish w:val="false"/>
                <w:color w:val="000000"/>
              </w:rPr>
              <w:t>3.</w:t>
            </w:r>
            <w:r>
              <w:rPr>
                <w:rStyle w:val="Czeindeksu"/>
                <w:rFonts w:eastAsia="" w:cs="Arial" w:cstheme="minorBidi" w:eastAsiaTheme="minorEastAsia"/>
                <w:b w:val="false"/>
                <w:caps w:val="false"/>
                <w:smallCaps w:val="false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Specyfikacja techniczna – część 2. zamówienia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_Toc26522260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rPr>
              <w:rFonts w:ascii="Calibri" w:hAnsi="Calibri" w:eastAsia="" w:cs="Arial" w:asciiTheme="minorHAnsi" w:cstheme="minorBidi" w:eastAsiaTheme="minorEastAsia" w:hAnsiTheme="minorHAnsi"/>
              <w:sz w:val="22"/>
              <w:szCs w:val="22"/>
              <w:lang w:eastAsia="pl-PL"/>
            </w:rPr>
          </w:pPr>
          <w:hyperlink w:anchor="_Toc26522261">
            <w:r>
              <w:rPr>
                <w:webHidden/>
                <w:rStyle w:val="Czeindeksu"/>
                <w:vanish w:val="false"/>
                <w:color w:val="000000"/>
              </w:rPr>
              <w:t>3.1.</w:t>
            </w:r>
            <w:r>
              <w:rPr>
                <w:rStyle w:val="Czeindeksu"/>
                <w:rFonts w:eastAsia="" w:cs="Arial" w:cstheme="minorBidi" w:eastAsiaTheme="minorEastAsia"/>
                <w:color w:val="000000"/>
                <w:sz w:val="22"/>
                <w:szCs w:val="22"/>
                <w:lang w:eastAsia="pl-PL"/>
              </w:rPr>
              <w:tab/>
            </w:r>
            <w:r>
              <w:rPr>
                <w:rStyle w:val="Czeindeksu"/>
                <w:color w:val="000000"/>
              </w:rPr>
              <w:t>Ploter A0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_Toc26522261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  <w:color w:val="000000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  <w:r>
            <w:rPr>
              <w:rStyle w:val="Czeindeksu"/>
              <w:vanish w:val="false"/>
              <w:color w:val="000000"/>
            </w:rPr>
            <w:fldChar w:fldCharType="end"/>
          </w:r>
        </w:p>
      </w:sdtContent>
    </w:sdt>
    <w:p>
      <w:pPr>
        <w:pStyle w:val="Spistreci1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color w:val="auto"/>
        </w:rPr>
      </w:pPr>
      <w:r>
        <w:rPr>
          <w:rFonts w:cs="Calibri" w:cstheme="minorHAnsi"/>
          <w:b w:val="false"/>
          <w:caps w:val="false"/>
          <w:smallCaps w:val="false"/>
          <w:color w:val="000000"/>
        </w:rPr>
      </w:r>
    </w:p>
    <w:p>
      <w:pPr>
        <w:pStyle w:val="Normal"/>
        <w:rPr>
          <w:rStyle w:val="Czeinternetowe"/>
          <w:rFonts w:ascii="Calibri" w:hAnsi="Calibri" w:eastAsia="Times New Roman" w:cs="Calibri" w:asciiTheme="minorHAnsi" w:cstheme="minorHAnsi" w:hAnsiTheme="minorHAnsi"/>
          <w:color w:val="auto"/>
        </w:rPr>
      </w:pPr>
      <w:r>
        <w:rPr>
          <w:rFonts w:eastAsia="Times New Roman" w:cs="Calibri" w:cstheme="minorHAnsi"/>
          <w:color w:val="auto"/>
        </w:rPr>
      </w:r>
      <w:r>
        <w:br w:type="page"/>
      </w:r>
    </w:p>
    <w:p>
      <w:pPr>
        <w:pStyle w:val="Nagwek1"/>
        <w:numPr>
          <w:ilvl w:val="0"/>
          <w:numId w:val="2"/>
        </w:numPr>
        <w:rPr>
          <w:color w:val="auto"/>
        </w:rPr>
      </w:pPr>
      <w:bookmarkStart w:id="2" w:name="_Toc390429507"/>
      <w:bookmarkStart w:id="3" w:name="_Toc492989340"/>
      <w:bookmarkStart w:id="4" w:name="_Toc26522242"/>
      <w:r>
        <w:rPr>
          <w:color w:val="000000"/>
        </w:rPr>
        <w:t>Wstęp</w:t>
      </w:r>
      <w:bookmarkEnd w:id="2"/>
      <w:bookmarkEnd w:id="3"/>
      <w:bookmarkEnd w:id="4"/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5" w:name="_Toc402783335"/>
      <w:bookmarkStart w:id="6" w:name="_Toc440381399"/>
      <w:bookmarkStart w:id="7" w:name="_Toc440381690"/>
      <w:bookmarkStart w:id="8" w:name="_Toc482613502"/>
      <w:bookmarkStart w:id="9" w:name="_Toc485054938"/>
      <w:bookmarkStart w:id="10" w:name="_Toc487448207"/>
      <w:bookmarkStart w:id="11" w:name="_Toc485897848"/>
      <w:bookmarkStart w:id="12" w:name="_Toc496250701"/>
      <w:bookmarkStart w:id="13" w:name="_Toc26522243"/>
      <w:r>
        <w:rPr>
          <w:rFonts w:cs="Calibri" w:ascii="Calibri" w:hAnsi="Calibri" w:asciiTheme="minorHAnsi" w:cstheme="minorHAnsi" w:hAnsiTheme="minorHAnsi"/>
          <w:color w:val="000000"/>
        </w:rPr>
        <w:t>Przedmiot zamówienia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>Przedmiotem zamówienia jest dostawa biurowego sprzętu informatycznego z oprogramowaniem standardowym oraz dostawa urządzenia do kolorowego i monochromatycznego drukowania, kopiowania i skanowania wielkoformatowych dokumentów. Niniejsze zamówienie realizowane jest w ramach projektu pn. „Budowa i wdrożenie Systemu Informacji Przestrzennej Województwa Wielkopolskiego (SIPWW)” współfinansowanego przez Unię Europejską z Europejskiego Funduszu Rozwoju Regionalnego w ramach Regionalnego Programu Operacyjnego Województwa Wielkopolskiego na lata 2014 - 2020.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>Realizacja projektu odbywa się przy specjalistycznym wsparciu przez Konsorcjum spółek: InfoStrategia Andrzej Szczerba i Wspólnicy Spółka Jawna oraz InfoStrategia Sp. z o.o, pełniących rolę Inżyniera Projektu. Zadaniem Inżyniera Projektu jest doradztwo, przygotowanie dokumentacji, kontrola realizacji Projektu oraz pełnienie niezbędnego nadzoru inwestycyjnego nad Projektem. Inżynier Projektu jest przedstawicielem Zamawiającego w zakresie czynności faktycznych związanych z realizacją umów zawartych do realizacji Projektu. Inżynier Projektu w stosunkach z Wykonawcą działa w imieniu i na rzecz Zamawiającego.</w:t>
      </w:r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14" w:name="_Toc26522244"/>
      <w:r>
        <w:rPr>
          <w:rFonts w:cs="Calibri" w:ascii="Calibri" w:hAnsi="Calibri" w:asciiTheme="minorHAnsi" w:cstheme="minorHAnsi" w:hAnsiTheme="minorHAnsi"/>
          <w:color w:val="000000"/>
        </w:rPr>
        <w:t>Zakres zamówienia</w:t>
      </w:r>
      <w:bookmarkEnd w:id="14"/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 xml:space="preserve">Zamówienie jest realizowane w dwóch częściach. 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>W ramach realizacji Części 1. zamówienia dostawa biurowego sprzętu informatycznego z oprogramowaniem standardowym Wykonawca dostarczy: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Komputer stacjonarny All In One typ A – 10 szt.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Komputer stacjonarny All In One typ B – 10 szt.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Oprogramowanie biurowe – 35 licencji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Komputer typu Laptop typ A – 5 szt.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Komputer typu Laptop typ B – 5 szt.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Komputer typu Laptop typ C – 5 szt.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Monitor typ A – 2 szt.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Monitor typ B – 2 szt.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Monitor typ C – 1 szt.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Projektor – 1 szt.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>W ramach realizacji Części 2. zamówienia dostawa urządzenia do kolorowego i monochromatycznego drukowania, kopiowania i skanowania wielkoformatowych dokumentów Wykonawca dostarczy:</w:t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jc w:val="both"/>
        <w:rPr>
          <w:color w:val="000000"/>
        </w:rPr>
      </w:pPr>
      <w:r>
        <w:rPr>
          <w:color w:val="000000"/>
        </w:rPr>
        <w:t>Ploter A0 – 1 szt.</w:t>
      </w:r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15" w:name="_Toc26522245"/>
      <w:bookmarkStart w:id="16" w:name="_Toc492989342"/>
      <w:r>
        <w:rPr>
          <w:rFonts w:cs="Calibri" w:ascii="Calibri" w:hAnsi="Calibri" w:asciiTheme="minorHAnsi" w:cstheme="minorHAnsi" w:hAnsiTheme="minorHAnsi"/>
          <w:color w:val="000000"/>
        </w:rPr>
        <w:t>Wymagania ogólne</w:t>
      </w:r>
      <w:bookmarkEnd w:id="15"/>
      <w:bookmarkEnd w:id="16"/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Przy realizacji niniejszego zamówienia Wykonawca zobowiązany będzie do spełnienia podstawowych kryteriów stawianych projektom finansowanym z Europejskiego Funduszu Rozwoju Regionalnego, co powoduje, że w realizacji projektu Zamawiający przyjmuje następujące założenia o charakterze formalnym: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color w:val="000000"/>
          <w:lang w:eastAsia="pl-PL"/>
        </w:rPr>
        <w:t>neutralności technologicznej – nie wskazuje się i nie faworyzuje żadnej konkretnej technologii i oprogramowania (za wyjątkiem obowiązujących norm europejskich i krajowych oraz powszechnie stosowanych technologii o charakterze standardów),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color w:val="000000"/>
          <w:lang w:eastAsia="pl-PL"/>
        </w:rPr>
        <w:t>swobodnego (otwartego) dostępu – wynik realizacji zamówienia zapewnić ma możliwość współpracy i korzystania ze zbudowanej infrastruktury wszystkim zainteresowanym stronom, zarówno operatorom SIPWW jak i użytkownikom, przy uwzględnieniu posiadanych uprawnień oraz przepisów prawa i zawartych z Urzędem Marszałkowskim Województwa Wielkopolskiego umów na udostępnianie danych.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Aby zachować regułę konkurencyjności dopuszcza się rozwiązania równoważne do rozwiązań wyspecyfikowanych przez Zamawiającego. Za rozwiązanie równoważne uważa się takie rozwiązanie, które pod względem technologii, wydajności i funkcjonalności nie odbiega znacząco od technologii, funkcjonalności i wydajności wyszczególnionych w rozwiązaniu wyspecyfikowanym, przy czym nie podlegają porównaniu cechy rozwiązania właściwe wyłącznie dla rozwiązania wyspecyfikowanego, takie jak: zastrzeżone patenty, własnościowe rozwiązania technologiczne, własnościowe protokoły, itp., a jedynie te, które stanowią o istocie całości zakładanych rozwiązań technologicznych i posiadają odniesienie w rozwiązaniu równoważnym. W związku z tym, Wykonawca może zaproponować rozwiązania, które realizują takie same funkcjonalności wyspecyfikowane przez Zamawiającego w inny, niż podany sposób. Za rozwiązanie równoważne nie można uznać rozwiązania identycznego (tożsamego), a jedynie takie, które w porównywanych cechach wykazuje dokładnie tą samą lub bardzo zbliżoną wartość użytkową. Przez bardzo zbliżoną wartość użytkową rozumie się podobne, z dopuszczeniem nieznacznych różnic nie wpływających w żadnym stopniu na całokształt systemu, zachowanie oraz realizowanie podobnych funkcjonalności w danych warunkach, identycznych dla obu rozwiązań, dla których to warunków rozwiązania te są dedykowane.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 dokumencie opisano wymagane parametry minimalne urządzeń, oprogramowania i usług. Wykonawca ma prawo zaoferować sprzęt i oprogramowanie o lepszych parametrach technicznych oraz szerszy zakres usług lub usługi o wyższym standardzie.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Wszystkie niezbędne licencje na oprogramowanie muszą być dostarczone i ważne na czas nieokreślony lub minimum na 30 lat.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Zamawiający wymaga dla wszystkich elementów sprzętowych i oprogramowania gwarancji i wsparcia serwisowego ich producentów. Kontakt z producentem będzie odbywał się przez Wykonawcę.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Dostarczane urządzenia i oprogramowanie muszą być fabrycznie nowe. Dostarczane urządzenia muszą być wyprodukowane nie wcześniej niż 6 miesięcy przed terminem dostawy, zaś dostarczane oprogramowanie musi być nie używane i nie instalowane wcześniej na innym urządzeniu.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Dostarczane urządzenia muszą pochodzić z kanału dystrybucji nie ograniczającego uprawnień Zamawiającego do gwarancji producenta.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Zmawiający wymaga, żeby oprogramowanie zostało dostarczone wraz z oryginalnymi licencjami oraz z naklejkami na sprzęcie, zawierającymi indywidualne numery seryjne oprogramowania, potwierdzającymi jego legalność. Zamawiający zastrzega sobie możliwość sprawdzenia legalności oprogramowania.</w:t>
      </w:r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17" w:name="_Toc492989343"/>
      <w:bookmarkStart w:id="18" w:name="_Toc26522246"/>
      <w:bookmarkStart w:id="19" w:name="_Toc338324191"/>
      <w:r>
        <w:rPr>
          <w:rFonts w:cs="Calibri" w:ascii="Calibri" w:hAnsi="Calibri" w:asciiTheme="minorHAnsi" w:cstheme="minorHAnsi" w:hAnsiTheme="minorHAnsi"/>
          <w:color w:val="000000"/>
        </w:rPr>
        <w:t>Wymagania dotyczące gwarancj</w:t>
      </w:r>
      <w:bookmarkEnd w:id="19"/>
      <w:r>
        <w:rPr>
          <w:rFonts w:cs="Calibri" w:ascii="Calibri" w:hAnsi="Calibri" w:asciiTheme="minorHAnsi" w:cstheme="minorHAnsi" w:hAnsiTheme="minorHAnsi"/>
          <w:color w:val="000000"/>
        </w:rPr>
        <w:t>i</w:t>
      </w:r>
      <w:bookmarkEnd w:id="17"/>
      <w:bookmarkEnd w:id="18"/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Wymagania dotyczące gwarancji zostały zawarte w §11 Istotnych postanowień umowy, stanowiących Załącznik nr 3 do SIWZ.</w:t>
      </w:r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20" w:name="_Toc492989344"/>
      <w:bookmarkStart w:id="21" w:name="_Toc26522247"/>
      <w:r>
        <w:rPr>
          <w:rFonts w:cs="Calibri" w:ascii="Calibri" w:hAnsi="Calibri" w:asciiTheme="minorHAnsi" w:cstheme="minorHAnsi" w:hAnsiTheme="minorHAnsi"/>
          <w:color w:val="000000"/>
        </w:rPr>
        <w:t>Miejsce dostawy sprzętu</w:t>
      </w:r>
      <w:bookmarkEnd w:id="20"/>
      <w:bookmarkEnd w:id="21"/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Sprzęt i oprogramowanie ma zostać dostarczone do siedziby Biura Geodety Województwa, ul. Kościuszki 95, 61-716 Poznań, I piętro, sekretariat (część 1. zamówienia) i II piętro (część 2. zamówienia).</w:t>
      </w:r>
    </w:p>
    <w:p>
      <w:pPr>
        <w:pStyle w:val="Nagwek1"/>
        <w:numPr>
          <w:ilvl w:val="0"/>
          <w:numId w:val="2"/>
        </w:numPr>
        <w:rPr>
          <w:color w:val="auto"/>
        </w:rPr>
      </w:pPr>
      <w:bookmarkStart w:id="22" w:name="_Toc26522248"/>
      <w:r>
        <w:rPr>
          <w:rFonts w:ascii="Calibri" w:hAnsi="Calibri"/>
          <w:color w:val="000000"/>
        </w:rPr>
        <w:t>Specyfikacja techniczna – Część 1. zamówienia</w:t>
      </w:r>
      <w:bookmarkEnd w:id="22"/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23" w:name="_Toc492989372"/>
      <w:bookmarkStart w:id="24" w:name="_Toc496206773"/>
      <w:bookmarkStart w:id="25" w:name="_Toc26522249"/>
      <w:r>
        <w:rPr>
          <w:rFonts w:cs="Calibri" w:ascii="Calibri" w:hAnsi="Calibri" w:asciiTheme="minorHAnsi" w:cstheme="minorHAnsi" w:hAnsiTheme="minorHAnsi"/>
          <w:color w:val="000000"/>
        </w:rPr>
        <w:t>Komputer stacjonarny All In One typ A</w:t>
      </w:r>
      <w:bookmarkEnd w:id="23"/>
      <w:bookmarkEnd w:id="24"/>
      <w:bookmarkEnd w:id="25"/>
    </w:p>
    <w:tbl>
      <w:tblPr>
        <w:tblW w:w="9072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97"/>
        <w:gridCol w:w="1972"/>
        <w:gridCol w:w="6603"/>
      </w:tblGrid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71" w:hanging="0"/>
              <w:jc w:val="both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Wymagania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minimalne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Przekątna: min. 23,5”,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Rozdzielczość: min.  FHD (1920x1080) IPS lub WVA,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Matryca: podświetlenie LED, format 16:9, matowa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sz w:val="18"/>
              </w:rPr>
            </w:pPr>
            <w:r>
              <w:rPr>
                <w:color w:val="000000"/>
              </w:rPr>
              <w:t xml:space="preserve">O wydajności nie mniejszej niż procesor </w:t>
            </w:r>
            <w:r>
              <w:rPr>
                <w:rFonts w:cs="Arial"/>
                <w:color w:val="000000"/>
                <w:sz w:val="18"/>
                <w:szCs w:val="18"/>
              </w:rPr>
              <w:t>Intel® Core™ i7-9700 lub równoważny na poziomie wydajności liczonej w punktach na podstawie testu Passmark (http://www.cpubenchmark.net/). Wykonawca w składanej ofercie winien podać dokładny model oferowanego podzespołu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Pamięć RAM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min. 16 GB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DDR4</w:t>
            </w:r>
            <w:r>
              <w:rPr>
                <w:color w:val="000000"/>
                <w:sz w:val="18"/>
              </w:rPr>
              <w:t xml:space="preserve"> z możliwością rozszerzenia do 32 GB,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Ilość banków pamięci: min. 2 szt.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Ilość nieużywanych banków pamięci: min. 1 szt.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Min. 512 GB SSD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zawierający partycję RECOVERY umożliwiającą odtworzenie systemu operacyjnego fabrycznie zainstalowanego na komputerze po awarii, opcjonalna możliwość montażu drugiego dysku twardego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 wydajności nie mniejszej niż Intel HD Graphics 630 lub równoważnej liczonej w punktach na podstawie testu Passmark (www.videocardbenchmark.net). W przypadku zastosowania karty zintegrowanej powinna ona umożliwiać wykorzystanie pamięci RAM systemu dynamicznie przydzielanej na potrzeby grafiki w trybie UMA (Unified Memory Access) – z możliwością dynamicznego przydzielenia do min. 8 GB pamięci.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Obsługująca funkcje określone w standardach: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DirectX 12,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OpenGL 4.5,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OpenCL 2.1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Zintegrowana karta dźwiękowa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LAN Ethernet 10/100/1000 Mbit/s,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WiFi obsługująca standard 802.11ac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Porty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Wbudowane (minimum): min. 6xUSB 3.1 gen 1 lub wyższym (z czego min. 1xUSB 3.1 gen1 lub wyższym i 1xUSB 3.1 typu C gen1 lub wyższym umiejscowione z boku obudowy), 1xRJ45,1x DisplayPort wyjście lub port typu COMBO, 1x wyjście słuchawki oraz 1x wejście mikrofon lub port typu COMBO, min 2 x port M.2 na płycie głównej. Wymagana ilość portów nie może być osiągnięta w wyniku stosowania konwerterów, przejściówek itp.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Klawiatura USB w układzie polski programisty – w kolorze zbliżonym do koloru obudowy,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 optyczna USB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Nagrywarka DVD +/-RW wbudowana lub zewnętrzna wraz z dołączonym oprogramowaniem do odtwarzania i nagrywania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36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Zintegrowana z monitorem (AIO)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musi umożliwiać zastosowanie zabezpieczenia fizycznego w postaci linki metalowej (złącze blokady Kensingtona)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założona blokada Kensington musi uniemożliwiać otworzenie tylnej obudowy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stopa musi umożliwiać regulację w pionie (min 100mm) oraz odchylenie (przód/tył: -5/+30st.)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zainstalowania komputera na ścianie przy wykorzystaniu ściennego systemu montażowego VESA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Wbudowane w obudowę przyciski: włącz/wyłącz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Wbudowane głośniki stereofoniczne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wbudowana kamera i mikrofon. Wymagane jest aby kamera posiadała funkcjonalność umożliwiającą jej fizyczne zasłonięcie poprzez wbudowaną przesłonę lub odwrócenie kamery do wewnątrz komputera.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 czytnik kart multimedialnych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Beznarzędziowy demontaż stopy.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Zintegrowany w płycie głównej aktywny układ zgodny ze standardem Trusted Platform Module (TPM v 2.0),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 czujnik otwarcia obudowy.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Wbudowany, o mocy maks. 200W i sprawności min. 85% przy 50% obciążeniu.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Windows 10 Professional 64bit PL lub równoważny (zgodnie z opisem równoważności w punkcie 2.7).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Bios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odczytania z Bios informacji o: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modelu komputera,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numerze seryjnym,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AssetTag,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MAC Adres karty sieciowej,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wersja Biosu,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zainstalowanym procesorze, jego taktowaniu i ilości rdzeni,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ilości pamięci RAM wraz z taktowaniem,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z poziomu BIOS: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USB,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SATA,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ustawienia hasła: administratora, Power-On, HDD,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wglądu w system zbierania logów z możliwością czyszczenia logów,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kontroli sekwencji boot.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Oferowane modele komputerów muszą posiadać: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certyfikat producenta dostarczanego systemu operacyjnego, potwierdzający poprawną współpracę oferowanych modeli komputerów z tym systemem,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Deklarację zgodności CE,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Certyfikat TCO,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EPEAT 2018 minimum na poziomie BRONZE lub EPEAT 2009 na poziomie GOLD (na terenie Polski lub USA),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ROHS.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Ilość sztuk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Zamawiający wymaga dostarczenia 10 sztuk komputerów stacjonarnych All-In One typu A wraz z wyszczególnionym oprogramowaniem.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26" w:name="_Toc492989373"/>
      <w:bookmarkStart w:id="27" w:name="_Toc496206774"/>
      <w:bookmarkStart w:id="28" w:name="_Toc26522250"/>
      <w:r>
        <w:rPr>
          <w:rFonts w:cs="Calibri" w:ascii="Calibri" w:hAnsi="Calibri" w:asciiTheme="minorHAnsi" w:cstheme="minorHAnsi" w:hAnsiTheme="minorHAnsi"/>
          <w:color w:val="000000"/>
        </w:rPr>
        <w:t>Komputer stacjonarny All In One typ B</w:t>
      </w:r>
      <w:bookmarkEnd w:id="26"/>
      <w:bookmarkEnd w:id="27"/>
      <w:bookmarkEnd w:id="28"/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</w:p>
    <w:tbl>
      <w:tblPr>
        <w:tblW w:w="9072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554"/>
        <w:gridCol w:w="1941"/>
        <w:gridCol w:w="6577"/>
      </w:tblGrid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Nr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-71" w:hanging="0"/>
              <w:jc w:val="both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Wymagania minimalne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Przekątna: min. 23,5”,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Rozdzielczość: min.  FHD (1920x1080) IPS lub WVA,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Matryca: podświetlenie LED, format 16:9, matowa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color w:val="000000"/>
              </w:rPr>
              <w:t xml:space="preserve">O wydajności nie mniejszej niż procesor </w:t>
            </w:r>
            <w:r>
              <w:rPr>
                <w:rFonts w:cs="Arial"/>
                <w:color w:val="000000"/>
                <w:sz w:val="18"/>
                <w:szCs w:val="18"/>
              </w:rPr>
              <w:t>Intel® Core™ i7-9700 lub równoważny na poziomie wydajności liczonej w punktach na podstawie testu Passmark (http://www.cpubenchmark.net/). Wykonawca w składanej ofercie winien podać dokładny model oferowanego podzespołu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Pamięć RAM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min. 32 GB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DDR4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Ilość banków pamięci: min. 2 szt.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Min. 512 GB SSD </w:t>
            </w:r>
            <w:r>
              <w:rPr>
                <w:rFonts w:cs="Arial"/>
                <w:color w:val="000000"/>
                <w:sz w:val="18"/>
                <w:szCs w:val="18"/>
              </w:rPr>
              <w:t>zawierający partycję RECOVERY umożliwiającą odtworzenie systemu operacyjnego fabrycznie zainstalowanego na komputerze po awarii, opcjonalna możliwość montażu drugiego dysku twardego,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 wydajności nie mniejszej niż Intel HD Graphics 630 lub równoważnej liczonej w punktach na podstawie testu Passmark (www.videocardbenchmark.net). W przypadku zastosowania karty zintegrowanej powinna ona umożliwiać wykorzystanie pamięci RAM systemu dynamicznie przydzielanej na potrzeby grafiki w trybie UMA (Unified Memory Access) – z możliwością dynamicznego przydzielenia do min. 8 GB pamięci.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Obsługująca funkcje określone w standardach: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DirectX 12,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OpenGL 4.5,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color w:val="000000"/>
                <w:sz w:val="18"/>
                <w:szCs w:val="18"/>
              </w:rPr>
              <w:t>OpenCL 2.1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Zintegrowana karta dźwiękowa.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LAN Ethernet 10/100/1000 Mbit/s,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WiFi obsługująca standard 802.11ac.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Porty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Wbudowane (minimum): min. 6xUSB 3.1 gen 1 lub wyższym (z czego min. 1xUSB 3.1 gen1 i 1xUSB 3.1 typu C gen1 lub wyższym umiejscowionymi z boku obudowy), 1xRJ45,1x DisplayPort wyjście lub port typu COMBO, 1x wyjście słuchawki oraz 1x wejście mikrofon lub port typu COMBO, 2 x port M.2 na płycie głównej. Wymagana ilość portów nie może być osiągnięta w wyniku stosowania konwerterów, przejściówek itp.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Klawiatura USB w układzie polski programisty – w kolorze zbliżonym do koloru obudowy.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 optyczna USB.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Nagrywarka DVD +/-RW wbudowana lub zewnętrzna wraz z dołączonym oprogramowaniem do odtwarzania i nagrywania.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360" w:hanging="36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Zintegrowana z monitorem (AIO),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musi umożliwiać zastosowanie zabezpieczenia fizycznego w postaci linki metalowej (złącze blokady Kensingtona),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założona blokada Kensington musi uniemożliwiać otworzenie tylnej obudowy,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stopa musi umożliwiać regulację w pionie (min 100mm) oraz odchylenie (przód/tył: -5/+30 st.),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zainstalowania komputera na ścianie przy wykorzystaniu ściennego systemu montażowego VESA,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Wbudowane w obudowę przyciski: włącz/wyłącz,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Wbudowane głośniki stereofoniczne,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Wbudowana kamera i mikrofon. Wymagane jest aby kamera posiadała funkcjonalność umożliwiającą jej fizyczne zasłonięcie poprzez wbudowaną przesłonę lub odwrócenie kamery do wewnątrz komputera,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 czytnik kart multimedialnych,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Beznarzędziowy demontaż stopy.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Zintegrowany w płycie głównej aktywny układ zgodny ze standardem Trusted Platform Module (TPM v 2.0),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 czujnik otwarcia obudowy.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Wbudowany, o mocy maks. 200W i sprawności min. 85% przy 50%. obciążeniu.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Windows 10 Professional 64bit PL lub równoważny (zgodnie z opisem równoważności w punkcie 2.7).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Bios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odczytania z Bios informacji o: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modelu komputera,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numerze seryjnym,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AssetTag,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MAC Adres karty sieciowej,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wersja Biosu,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zainstalowanym procesorze, jego taktowaniu i ilości rdzeni,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ilości pamięci RAM wraz z taktowaniem.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z poziomu BIOS: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USB,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SATA,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ustawienia hasła: administratora, Power-On, HDD,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wglądu w system zbierania logów z możliwością czyszczenia logów,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kontroli sekwencji boot.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Oferowane modele komputerów muszą posiadać: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 w:before="0" w:after="0"/>
              <w:ind w:left="360" w:hanging="36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 w:before="0" w:after="0"/>
              <w:ind w:left="360" w:hanging="36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certyfikat producenta dostarczanego systemu operacyjnego, potwierdzający poprawną współpracę oferowanych modeli komputerów z tym systemem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 w:before="0" w:after="0"/>
              <w:ind w:left="360" w:hanging="36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Deklarację zgodności CE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0"/>
              <w:ind w:left="360" w:hanging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Certyfikat TCO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0"/>
              <w:ind w:left="360" w:hanging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EPEAT 2018 minimum na poziomie BRONZE lub EPEAT 2009 na poziomie GOLD (na terenie Polski lub USA)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0"/>
              <w:ind w:left="360" w:hanging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ROHS.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>
        <w:trPr>
          <w:trHeight w:val="1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Zamawiający wymaga dostarczenia 10 sztuk komputerów stacjonarnych All-In One typu B wraz z wyszczególnionym oprogramowaniem.</w:t>
            </w:r>
            <w:bookmarkStart w:id="29" w:name="_Hlk494764085"/>
            <w:bookmarkEnd w:id="29"/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30" w:name="_Toc26522251"/>
      <w:bookmarkStart w:id="31" w:name="_Toc26522253"/>
      <w:r>
        <w:rPr>
          <w:rFonts w:cs="Calibri" w:ascii="Calibri" w:hAnsi="Calibri" w:asciiTheme="minorHAnsi" w:cstheme="minorHAnsi" w:hAnsiTheme="minorHAnsi"/>
          <w:color w:val="000000"/>
        </w:rPr>
        <w:t xml:space="preserve">Komputery typu Laptop typ </w:t>
      </w:r>
      <w:bookmarkEnd w:id="31"/>
      <w:r>
        <w:rPr>
          <w:rFonts w:cs="Calibri" w:ascii="Calibri" w:hAnsi="Calibri" w:asciiTheme="minorHAnsi" w:cstheme="minorHAnsi" w:hAnsiTheme="minorHAnsi"/>
          <w:color w:val="000000"/>
        </w:rPr>
        <w:t>A</w:t>
      </w:r>
    </w:p>
    <w:tbl>
      <w:tblPr>
        <w:tblW w:w="9072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97"/>
        <w:gridCol w:w="1963"/>
        <w:gridCol w:w="9"/>
        <w:gridCol w:w="6603"/>
      </w:tblGrid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-71" w:hanging="0"/>
              <w:jc w:val="both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Wymagania minimalne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Matryca IPS, dotykowa, min. 13,3 – max. 14” z podświetleniem w technologii LED, powłoka pokryta szybą, rozdzielczość min. 2560x1440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color w:val="000000"/>
              </w:rPr>
              <w:t xml:space="preserve">O wydajności nie mniejszej niż procesor </w:t>
            </w:r>
            <w:r>
              <w:rPr>
                <w:rFonts w:cs="Arial"/>
                <w:color w:val="000000"/>
                <w:sz w:val="18"/>
                <w:szCs w:val="18"/>
              </w:rPr>
              <w:t>Intel® Core™ i7-8565U lub równoważny na poziomie wydajności liczonej w punktach na podstawie testu Passmark (http://www.cpubenchmark.net/). Wykonawca w składanej ofercie winien podać dokładny model oferowanego podzespołu.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Chipset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Dostosowany do zaoferowanego procesora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Pamięć RAM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Min. 16 GB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Dysk min. 512GB wykonany w technologii SSD PCIe zawierający partycję RECOVERY umożliwiającą odtworzenie systemu operacyjnego fabrycznie zainstalowanego na komputerze po awarii.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Zintegrowana z procesorem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Wbudowana, zgodna z HD Audio, wbudowane głośniki stereo, wbudowany mikrofon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10/100/1000 – RJ 45 (dopuszcza się użycie zewnętrznego adaptera -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adapter musi być dostarczony w zestawie z laptopem)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Łączność bezprzewodowa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WiFi: Wbudowana karta sieciowa, pracująca w standardzie AC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Wbudowany moduł Bluetooth 4.1 lub nowszy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układ US z podświetleniem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360" w:hanging="36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matowa, zawiasy metalowe pozwalające na otwarcie pod kątem 360st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Zewnętrzna bezprzewodowa w standardzie Bluetooth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 czytnik linii papilarnych wraz z oprogramowaniem.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Zasilacz zewnętrzny max 65W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Windows 10 Professional 64 bit PL lub równoważny (zgodnie z opisem równoważności w punkcie 2.7).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Bios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BIOS zgodny ze specyfikacją UEFI.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nr seryjny komputera,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PN producenta sprzętu pozwalający na identyfikację jednostki, jeśli identyfikacja modelu po samym numerze seryjnym laptopa nie jest możliwa,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ilości pamięci RAM,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typ procesora i jego prędkości.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Administrator z poziomu BIOS musi mieć możliwość wykonania poniższych czynności: 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ustawienia hasła dla twardego dysku,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ustawienia hasła na starcie komputera tzw. POWER-On Password,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ustawienia kolejności bootowania,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Wyłączania/Włączania: zintegrowanej karty WiFi i BT.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Porty/złącza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min 1 x USB 3.1 gen 1 lub typu C,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min 1 x USB typu C lub Thunderbolt lub Thunderbolt 3 / TYP-C,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min 1 x wyjście audio.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Waga/Wymiary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Waga urządzenia z baterią podstawową max. 1,45 kg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Zgodność z standardami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Certyfikat ISO9001:2000 dla producenta sprzętu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clear" w:pos="708"/>
                <w:tab w:val="left" w:pos="375" w:leader="none"/>
              </w:tabs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Wsparcie techniczne producenta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Dedykowany numer oraz adres email dla wsparcia technicznego i informacji produktowej.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Ilość sztuk 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Zamawiający wymaga dostarczenia 5 sztuk komputerów typu laptop typ A wraz z wyszczególnionym oprogramowaniem oraz akcesorium umożliwiającym ich bezpieczny transport poza siedzibą UMWW przy przewożeniu z miejsca na miejsce.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32" w:name="_Toc492989377"/>
      <w:bookmarkStart w:id="33" w:name="_Toc496206778"/>
      <w:r>
        <w:rPr>
          <w:rFonts w:cs="Calibri" w:ascii="Calibri" w:hAnsi="Calibri" w:asciiTheme="minorHAnsi" w:cstheme="minorHAnsi" w:hAnsiTheme="minorHAnsi"/>
          <w:color w:val="000000"/>
        </w:rPr>
        <w:t>Komputery typu Laptop</w:t>
      </w:r>
      <w:bookmarkEnd w:id="32"/>
      <w:bookmarkEnd w:id="33"/>
      <w:r>
        <w:rPr>
          <w:rFonts w:cs="Calibri" w:ascii="Calibri" w:hAnsi="Calibri" w:asciiTheme="minorHAnsi" w:cstheme="minorHAnsi" w:hAnsiTheme="minorHAnsi"/>
          <w:color w:val="000000"/>
        </w:rPr>
        <w:t xml:space="preserve"> typ </w:t>
      </w:r>
      <w:bookmarkEnd w:id="30"/>
      <w:r>
        <w:rPr>
          <w:rFonts w:cs="Calibri" w:ascii="Calibri" w:hAnsi="Calibri" w:asciiTheme="minorHAnsi" w:cstheme="minorHAnsi" w:hAnsiTheme="minorHAnsi"/>
          <w:color w:val="000000"/>
        </w:rPr>
        <w:t>B</w:t>
      </w:r>
      <w:bookmarkStart w:id="34" w:name="_Hlk18166499"/>
      <w:bookmarkEnd w:id="34"/>
    </w:p>
    <w:tbl>
      <w:tblPr>
        <w:tblW w:w="9072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97"/>
        <w:gridCol w:w="1963"/>
        <w:gridCol w:w="9"/>
        <w:gridCol w:w="6603"/>
      </w:tblGrid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-71" w:hanging="0"/>
              <w:jc w:val="both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Wymagania minimalne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Przekątna: min. 15” max. 16’’.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Rozdzielczość: min. FHD (1920x1080).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Matryca: podświetlenie LED, matowa.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color w:val="000000"/>
                <w:sz w:val="18"/>
                <w:szCs w:val="18"/>
                <w:lang w:val="de-DE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color w:val="000000"/>
              </w:rPr>
              <w:t xml:space="preserve">O wydajności nie mniejszej niż procesor </w:t>
            </w:r>
            <w:r>
              <w:rPr>
                <w:rFonts w:cs="Arial"/>
                <w:color w:val="000000"/>
                <w:sz w:val="18"/>
                <w:szCs w:val="18"/>
              </w:rPr>
              <w:t>Intel® Core™ i5-9400H lub równoważny na poziomie wydajności liczonej w punktach na podstawie testu Passmark (http://www.cpubenchmark.net/). Wykonawca w składanej ofercie winien podać dokładny model oferowanego podzespołu.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Pamięć RAM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min. </w:t>
            </w: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</w:rPr>
              <w:t xml:space="preserve"> GB DDR4 </w:t>
            </w:r>
            <w:r>
              <w:rPr>
                <w:rFonts w:cs="Calibri"/>
                <w:color w:val="000000"/>
                <w:sz w:val="18"/>
                <w:szCs w:val="18"/>
              </w:rPr>
              <w:t>z możliwością rozszerzenia do 32 GB.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banków pamięci: min. 2 szt.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nieużywanych banków pamięci: min. 1 szt.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Min. 512GB SSD PCIe/NVMe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zawierający partycję RECOVERY umożliwiającą odtworzenie systemu operacyjnego fabrycznie zainstalowanego na komputerze po awarii.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O wydajności nie mniejszej niż Intel HD Graphics 630 lub równoważnej liczonej w punktach na podstawie testu Videocard Benchmark (www.videocardbenchmark.net).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Zintegrowana karta dźwiękowa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LAN Ethernet 10/100/1000 Mbit/s.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WiFi ac/b/g/n.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Bluetooth 4.1 lub wyższy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Przygotowana instalacja do późniejszego zamontowania modemu LTE w postaci wewnętrznego modułu.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Porty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Wbudowane (minimum):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min. 3 złącza USB 3.1 gen1, w tym jedno z funkcją ładowana urządzeń zewnętrznych nawet przy wyłączonym notebooku i co najmniej jedno USB Type-C (pierwszej lub drugiej generacji),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1xRJ45,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1x HDMI,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1x wyjście słuchawki, 1x wejście mikrofon lub 1x wejście combo,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podłączenia dedykowanej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stacji dokującej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,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Wymagana ilość portów nie może być osiągnięta w wyniku stosowania konwerterów, przejściówek itp. jeśli tego wprost nie zaznaczono.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Zewnętrzna nagrywarka DVD +/-RW wraz z dołączonym oprogramowaniem do odtwarzania i nagrywania.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360" w:hanging="36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Konstrukcja wzmacniana, zawiasy matrycy metalowe.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Waga urządzenia z baterią bez zasilacza nie więcej niż 2,1kg.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Klawiatura z wydzieloną strefą numeryczną, odporna na zalanie, układ US, z wbudowanym trackpointem oraz touchpad z obsługą gestów.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musi umożliwiać zastosowanie zabezpieczenia fizycznego w postaci linki metalowej (złącze blokady Kensingtona lub równoważne np. Noble),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wbudowane głośniki,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wbudowana kamera i mikrofon,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 czytnik kart multimedialnych min. SD,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 optyczna bezprzewodowa (WiFi lub Bluetooth).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Zintegrowany w płycie głównej aktywny układ zgodny ze standardem Trusted Platform Module (TPM v 2.0).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color w:val="000000"/>
              </w:rPr>
              <w:t>Bateria lub baterie o minimalnej łącznej pojemności min. 45Wh, Energy Star min 6.1, funkcja szybkiego ładowania,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Windows 10 Professional 64 bit PL lub równoważny (zgodnie z opisem równoważności w punkcie 2.7).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Bios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odczytania z Bios informacji o: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wersji BIOS,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nr seryjnego komputera,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pamięci RAM,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typie procesora,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pojemności zainstalowanego dysku twardego.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z poziomu BIOS: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USB,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SATA,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ustawienia hasła: administratora, Power-On, HDD,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wglądu w system zbierania logów z możliwością czyszczenia logów,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kontroli sekwencji boot.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Oferowane modele komputerów muszą posiadać: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certyfikat producenta dostarczanego systemu operacyjnego, potwierdzający poprawną współpracę oferowanych modeli komputerów z tym systemem,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Deklarację zgodności CE,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Certyfikat TCO,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EPEAT 2018 minimum na poziomie BRONZE lub EPEAT 2009 na poziomie GOLD (na terenie Polski lub USA),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ROHS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Ilość sztuk 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Zamawiający wymaga dostarczenia 5 sztuk komputerów typu laptop typ B wraz z wyszczególnionym oprogramowaniem oraz akcesorium umożliwiającym ich bezpieczny transport poza siedzibą UMWW przy przewożeniu z miejsca na miejsce.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35" w:name="_Toc26522252"/>
      <w:bookmarkStart w:id="36" w:name="_Hlk493369873"/>
      <w:bookmarkEnd w:id="36"/>
      <w:r>
        <w:rPr>
          <w:rFonts w:cs="Calibri" w:ascii="Calibri" w:hAnsi="Calibri" w:asciiTheme="minorHAnsi" w:cstheme="minorHAnsi" w:hAnsiTheme="minorHAnsi"/>
          <w:color w:val="000000"/>
        </w:rPr>
        <w:t xml:space="preserve">Komputery typu Laptop typ </w:t>
      </w:r>
      <w:bookmarkEnd w:id="35"/>
      <w:r>
        <w:rPr>
          <w:rFonts w:cs="Calibri" w:ascii="Calibri" w:hAnsi="Calibri" w:asciiTheme="minorHAnsi" w:cstheme="minorHAnsi" w:hAnsiTheme="minorHAnsi"/>
          <w:color w:val="000000"/>
        </w:rPr>
        <w:t>C</w:t>
      </w:r>
    </w:p>
    <w:tbl>
      <w:tblPr>
        <w:tblW w:w="9072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97"/>
        <w:gridCol w:w="1963"/>
        <w:gridCol w:w="9"/>
        <w:gridCol w:w="6603"/>
      </w:tblGrid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-71" w:hanging="0"/>
              <w:jc w:val="both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Wymagania minimalne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Przekątna: min. 17” max. 18’’.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Rozdzielczość:  min. FHD (1920x1080).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Matryca: IPS, matowa.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color w:val="000000"/>
                <w:sz w:val="18"/>
                <w:szCs w:val="18"/>
                <w:lang w:val="de-DE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color w:val="000000"/>
              </w:rPr>
              <w:t xml:space="preserve">O wydajności nie mniejszej niż procesor </w:t>
            </w:r>
            <w:r>
              <w:rPr>
                <w:rFonts w:cs="Arial"/>
                <w:color w:val="000000"/>
                <w:sz w:val="18"/>
                <w:szCs w:val="18"/>
              </w:rPr>
              <w:t>Intel® Core™ i7-8850H lub równoważny na poziomie wydajności liczonej w punktach na podstawie testu Passmark (http://www.cpubenchmark.net/). Wykonawca w składanej ofercie winien podać dokładny model oferowanego podzespołu.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Pamięć RAM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min. 16 GB DDR4 </w:t>
            </w:r>
            <w:r>
              <w:rPr>
                <w:rFonts w:cs="Calibri"/>
                <w:color w:val="000000"/>
                <w:sz w:val="18"/>
                <w:szCs w:val="18"/>
              </w:rPr>
              <w:t>z możliwością rozszerzenia do min. 64 GB.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banków pamięci: min. 4 szt.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nieużywanych banków pamięci: min. 2 szt.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HDD min. 1 TB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SSD min. 256 GB zawierający partycję RECOVERY umożliwiającą odtworzenie systemu operacyjnego fabrycznie zainstalowanego na komputerze po awarii.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color w:val="000000"/>
              </w:rPr>
              <w:t>O wydajności nie mniejszej niż NVIDIA Quadro® RTX3000 lub równoważnej liczonej w punktach na podstawie testu Videocard Benchmark (www.videocardbenchmark.net).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Zintegrowana karta dźwiękowa.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LAN Ethernet 10/100/1000 Mbit/s.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WiFi ac/b/g/n.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Bluetooth 4.1.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Porty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Wbudowane (minimum):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min. 3 złącza USB 3.1 gen1, w tym jedno z funkcją ładowana urządzeń zewnętrznych nawet przy wyłączonym notebooku,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min. 2 złącza USB typu C z Thunderbolt 3,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1x RJ45,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1x HDMI,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1x wyjście słuchawki, 1x wejście mikrofon lub 1x wejście combo,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 czytnik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kart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multimedialnych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min. SD.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Wymagana ilość portów nie może być osiągnięta w wyniku stosowania konwerterów, przejściówek, itp. jeśli tego wprost nie zaznaczono.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Zewnętrzna nagrywarka DVD +/-RW wraz z dołączonym oprogramowaniem do odtwarzania i nagrywania.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360" w:hanging="36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Klawiatura układ US podświetlana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 optyczna bezprzewodowa (WiFi lub Bluetooth).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Konstrukcja wzmacniana, zawiasy matrycy metalowe.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Waga urządzenia z baterią bez zasilacza nie więcej niż 4,0kg.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musi umożliwiać zastosowanie zabezpieczenia fizycznego w postaci linki metalowej (złącze blokady Kensingtona lub równoważne np. Noble),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wbudowane głośniki,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wbudowana kamera i mikrofon.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color w:val="000000"/>
              </w:rPr>
              <w:t xml:space="preserve">Bateria lub baterie o minimalnej łącznej pojemności min. 90Wh, Energy Star min 6.1, funkcja szybkiego ładowania.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Zasilacz zewnętrzny pozwalający na jednoczesną pracę i ładowanie akumulatora.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Windows 10 Professional 64 bit PL  lub równoważny (zgodnie z opisem równoważności w punkcie 2.7).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Bios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odczytania z Bios informacji o: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wersji BIOS,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nr seryjnego komputera,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pamięci RAM,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typie procesora,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pojemności zainstalowanego dysku twardego.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z poziomu BIOS: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USB,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SATA,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ustawienia hasła: administratora, Power-On, HDD,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wglądu w system zbierania logów z możliwością czyszczenia logów, kontroli sekwencji boot.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76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Oferowane modele komputerów muszą posiadać certyfikat producenta dostarczanego systemu operacyjnego, potwierdzający poprawną współpracę oferowanych modeli komputerów z tym systemem.</w:t>
            </w:r>
          </w:p>
        </w:tc>
      </w:tr>
      <w:tr>
        <w:trPr>
          <w:trHeight w:val="1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Ilość sztuk 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Zamawiający wymaga dostarczenia 5 sztuk komputerów typu laptop typ C wraz z wyszczególnionym oprogramowaniem oraz akcesorium umożliwiającym ich bezpieczny transport poza siedzibą UMWW przy przewożeniu z miejsca na miejsce.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color w:val="auto"/>
        </w:rPr>
      </w:pPr>
      <w:bookmarkStart w:id="37" w:name="_Toc492989374"/>
      <w:bookmarkStart w:id="38" w:name="_Toc496206775"/>
      <w:bookmarkStart w:id="39" w:name="_Toc26522254"/>
      <w:r>
        <w:rPr>
          <w:rFonts w:cs="Calibri" w:ascii="Calibri" w:hAnsi="Calibri" w:asciiTheme="minorHAnsi" w:cstheme="minorHAnsi" w:hAnsiTheme="minorHAnsi"/>
          <w:color w:val="000000"/>
        </w:rPr>
        <w:t>Oprogramowanie biurowe</w:t>
      </w:r>
      <w:bookmarkEnd w:id="37"/>
      <w:bookmarkEnd w:id="38"/>
      <w:bookmarkEnd w:id="39"/>
    </w:p>
    <w:p>
      <w:pPr>
        <w:pStyle w:val="Default"/>
        <w:spacing w:lineRule="auto" w:line="27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Pakiet biurowy musi spełniać następujące wymagania minimalne poprzez wbudowane mechanizmy, bez użycia dodatkowych aplikacji: </w:t>
      </w:r>
    </w:p>
    <w:p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tbl>
      <w:tblPr>
        <w:tblW w:w="9077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470"/>
        <w:gridCol w:w="8606"/>
      </w:tblGrid>
      <w:tr>
        <w:trPr>
          <w:trHeight w:val="29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Nr.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ascii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Wymagania minimalne</w:t>
            </w:r>
          </w:p>
        </w:tc>
      </w:tr>
      <w:tr>
        <w:trPr>
          <w:trHeight w:val="58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Wymagania odnośnie interfejsu użytkownika: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a) pełna polska wersja językowa interfejsu użytkownika,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b) prostota i intuicyjność obsługi, pozwalająca na pracę osobom nieposiadającym umiejętności technicznych. </w:t>
            </w:r>
          </w:p>
        </w:tc>
      </w:tr>
      <w:tr>
        <w:trPr>
          <w:trHeight w:val="58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Oprogramowanie musi umożliwiać tworzenie i edycję dokumentów elektronicznych w ustalonym formacie, który spełnia następujące warunki: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a) posiada kompletny i publicznie dostępny opis formatu,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b)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526).</w:t>
            </w:r>
          </w:p>
        </w:tc>
      </w:tr>
      <w:tr>
        <w:trPr>
          <w:trHeight w:val="56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</w:tc>
      </w:tr>
      <w:tr>
        <w:trPr>
          <w:trHeight w:val="29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W skład oprogramowania muszą wchodzić narzędzia programistyczne umożliwiające automatyzację pracy i wymianę danych pomiędzy dokumentami i aplikacjami (język makropoleceń, język skryptowy). </w:t>
            </w:r>
          </w:p>
        </w:tc>
      </w:tr>
      <w:tr>
        <w:trPr>
          <w:trHeight w:val="323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Do aplikacji musi być dostępna pełna dokumentacja w języku polskim. </w:t>
            </w:r>
          </w:p>
        </w:tc>
      </w:tr>
      <w:tr>
        <w:trPr>
          <w:trHeight w:val="87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Pakiet zintegrowanych aplikacji biurowych musi zawierać: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a) edytor tekstów,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b) arkusz kalkulacyjny,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c) narzędzie do przygotowywania i prowadzenia prezentacji,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d) narzędzie do tworzenia drukowanych materiałów informacyjnych,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e) narzędzie do zarządzania informacją prywatą (pocztą elektroniczną, kalendarzem, kontaktami i zadaniami),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f) narzędzie do tworzenia notatek przy pomocy klawiatury lub notatek odręcznych na ekranie urządzenia typu tablet PC z mechanizmem OCR. </w:t>
            </w:r>
          </w:p>
        </w:tc>
      </w:tr>
      <w:tr>
        <w:trPr>
          <w:trHeight w:val="58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Edytor tekstów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b) wstawianie oraz formatowanie tabel,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c) wstawianie oraz formatowanie obiektów graficznych,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d) wstawianie wykresów i tabel z arkusza kalkulacyjnego (wliczając tabele przestawne),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e) automatyczne numerowanie rozdziałów, punktów, akapitów, tabel i rysunków,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f) automatyczne tworzenie spisów treści,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g) formatowanie nagłówków i stopek stron,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h) śledzenie i porównywanie zmian wprowadzonych przez użytkowników w dokumencie,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i) nagrywanie, tworzenie i edycję makr automatyzujących wykonywanie czynności,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j) określenie układu strony (pionowa/pozioma),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k) wydruk dokumentów,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l) wykonywanie korespondencji seryjnej bazując na danych adresowych pochodzących z arkusza kalkulacyjnego i z narzędzia do zarządzania informacją prywatną,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m) pracę na dokumentach utworzonych przy pomocy Microsoft Word 2003 2007, 2010, 2013, 2016 z zapewnieniem bezproblemowej konwersji wszystkich elementów i atrybutów dokumentu,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n) zabezpieczenie dokumentów hasłem przed odczytem oraz przed wprowadzaniem modyfikacji,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o) wymagana jest dostępność do oferowanego edytora tekstu bezpłatnych narzędzi umożliwiających wykorzystanie go, jako środowiska kreowania aktów normatywnych i prawnych, zgodnie z obowiązującym prawem,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p)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</w:tc>
      </w:tr>
      <w:tr>
        <w:trPr>
          <w:trHeight w:val="29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Arkusz kalkulacyjny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a) tworzenie raportów tabelarycznych,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b) tworzenie wykresów liniowych (wraz linią trendu), słupkowych, kołowych,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c) tworzenie arkuszy kalkulacyjnych zawierających teksty, dane liczbowe oraz formuły przeprowadzające operacje matematyczne, logiczne, tekstowe, statystyczne oraz operacje na danych finansowych i na miarach czasu,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d) tworzenie raportów z zewnętrznych źródeł danych (inne arkusze kalkulacyjne, bazy danych zgodne z ODBC, pliki tekstowe, pliki XML, webservice),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f) tworzenie raportów tabeli przestawnych umożliwiających dynamiczną zmianę wymiarów oraz wykresów bazujących na danych z tabeli przestawnych,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g) wyszukiwanie i zamianę danych,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h) wykonywanie analiz danych przy użyciu formatowania warunkowego,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i) nazywanie komórek arkusza i odwoływanie się w formułach po takiej nazwie,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j) nagrywanie, tworzenie i edycję makr automatyzujących wykonywanie czynności,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k) formatowanie czasu, daty i wartości finansowych z polskim formatem,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l) zapis wielu arkuszy kalkulacyjnych w jednym pliku,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m) zachowanie pełnej zgodności z formatami plików utworzonych za pomocą oprogramowania Microsoft Excel 2003 2003 2007, 2010, 2013, 2016, z uwzględnieniem poprawnej realizacji użytych w nich funkcji specjalnych i makropoleceń,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n) zabezpieczenie dokumentów hasłem przed odczytem oraz przed wprowadzaniem modyfikacji. </w:t>
            </w:r>
          </w:p>
        </w:tc>
      </w:tr>
      <w:tr>
        <w:trPr>
          <w:trHeight w:val="142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Narzędzie do przygotowywania i prowadzenia prezentacji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a) przygotowywanie prezentacji multimedialnych, które będą: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b) prezentowanie przy użyciu projektora multimedialnego,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c) drukowanie w formacie umożliwiającym robienie notatek,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d) zapisanie jako prezentacja tylko do odczytu,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e) nagrywanie narracji i dołączanie jej do prezentacji,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f) opatrywanie slajdów notatkami dla prezentera,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g) umieszczanie i formatowanie tekstów, obiektów graficznych, tabel, nagrań dźwiękowych i wideo,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h) umieszczanie tabel i wykresów pochodzących z arkusza kalkulacyjnego,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i) odświeżenie wykresu znajdującego się w prezentacji po zmianie danych w źródłowym arkuszu kalkulacyjnym,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j) możliwość tworzenia animacji obiektów i całych slajdów,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k) prowadzenie prezentacji w trybie prezentera, gdzie slajdy są widoczne na jednym monitorze lub projektorze, a na drugim widoczne są slajdy i notatki prezentera,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l) pełna zgodność z formatami plików utworzonych za pomocą oprogramowania MS PowerPoint 2003 2007, 2010, 2013, 2016.</w:t>
            </w:r>
          </w:p>
        </w:tc>
      </w:tr>
      <w:tr>
        <w:trPr>
          <w:trHeight w:val="58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Narzędzie do tworzenia drukowanych materiałów informacyjnych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a) tworzenie i edycję drukowanych materiałów informacyjnych,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b) tworzenie materiałów przy użyciu dostępnych z narzędziem szablonów: broszur, biuletynów, katalogów,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c) edycję poszczególnych stron materiałów,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d) podział treści na kolumny,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e) umieszczanie elementów graficznych,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f) wykorzystanie mechanizmu korespondencji seryjnej,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g) płynne przesuwanie elementów po całej stronie publikacji,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h) eksport publikacji do formatu PDF oraz TIFF,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i) wydruk publikacji,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j) możliwość przygotowywania materiałów do wydruku w standardzie CMYK.</w:t>
            </w:r>
          </w:p>
        </w:tc>
      </w:tr>
      <w:tr>
        <w:trPr>
          <w:trHeight w:val="29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Narzędzie do zarządzania informacją prywatną (pocztą elektroniczną, kalendarzem, kontaktami i zadaniami)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a) pobieranie i wysyłanie poczty elektronicznej z serwera pocztowego,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b) filtrowanie niechcianej poczty elektronicznej (SPAM) oraz określanie listy zablokowanych i bezpiecznych nadawców,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c) tworzenie katalogów, pozwalających katalogować pocztę elektroniczną,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d) automatyczne grupowanie poczty o tym samym tytule,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e) tworzenie reguł przenoszących automatycznie nową pocztę elektroniczną do określonych katalogów bazując na słowach zawartych w tytule, adresie nadawcy i odbiorcy,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f) oflagowanie poczty elektronicznej z określeniem terminu przypomnienia,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g) zarządzanie kalendarzem,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h) udostępnianie kalendarza innym użytkownikom,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i) przeglądanie kalendarza innych użytkowników,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j) zapraszanie uczestników na spotkanie, co po ich akceptacji powoduje automatyczne wprowadzenie spotkania w ich kalendarzach,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k) zarządzanie listą zadań,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l) zlecanie zadań innym użytkownikom,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m) zarządzanie listą kontaktów,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n) udostępnianie listy kontaktów innym użytkownikom,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o) przeglądanie listy kontaktów innych użytkowników,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 xml:space="preserve">p) możliwość przesyłania kontaktów innym użytkowników. </w:t>
            </w:r>
          </w:p>
        </w:tc>
      </w:tr>
      <w:tr>
        <w:trPr>
          <w:trHeight w:val="29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  <w:t>Zamawiający wymaga dostarczenia licencji dla oprogramowania biurowego do używania na wszystkich komputerach wymienionych w rozdziałach 2.1 – 2.5, łącznie 35 sztuk.</w:t>
            </w:r>
          </w:p>
        </w:tc>
      </w:tr>
      <w:tr>
        <w:trPr>
          <w:trHeight w:val="17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Zamawiający musi mieć prawo do przenoszenia oprogramowania biurowego (każdej z licencji) na inne komputery.</w:t>
            </w:r>
          </w:p>
        </w:tc>
      </w:tr>
      <w:tr>
        <w:trPr>
          <w:trHeight w:val="290" w:hRule="atLeast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Zamawiający musi posiadać prawo do zarządzania licencjami z poziomu portalu internetowego w ramach własnego konta dostępowego.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clear" w:pos="708"/>
          <w:tab w:val="left" w:pos="993" w:leader="none"/>
        </w:tabs>
        <w:rPr>
          <w:rFonts w:ascii="Calibri" w:hAnsi="Calibri" w:cs="Calibri" w:asciiTheme="minorHAnsi" w:cstheme="minorHAnsi" w:hAnsiTheme="minorHAnsi"/>
          <w:color w:val="auto"/>
        </w:rPr>
      </w:pPr>
      <w:bookmarkStart w:id="40" w:name="_Toc492989375"/>
      <w:bookmarkStart w:id="41" w:name="_Toc496206776"/>
      <w:bookmarkStart w:id="42" w:name="_Toc26522255"/>
      <w:r>
        <w:rPr>
          <w:rFonts w:cs="Calibri" w:ascii="Calibri" w:hAnsi="Calibri" w:asciiTheme="minorHAnsi" w:cstheme="minorHAnsi" w:hAnsiTheme="minorHAnsi"/>
          <w:color w:val="000000"/>
        </w:rPr>
        <w:t>Opis równoważności systemu operacyjnego do rozdziałów 2.1. – 2.5.</w:t>
      </w:r>
      <w:bookmarkEnd w:id="40"/>
      <w:bookmarkEnd w:id="41"/>
      <w:bookmarkEnd w:id="42"/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System operacyjny klasy desktop, przeznaczony do instalacji na nowym sprzęcie nieposiadającym innego systemu operacyjnego, musi spełniać następujące wymagania poprzez wbudowane mechanizmy, bez użycia dodatkowych aplikacji: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Interfejs graficzny użytkownika pozwalający na obsługę: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Klasyczną przy pomocy klawiatury i myszy,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Dotykową umożliwiającą sterowanie dotykiem na urządzeniach typu tablet lub monitorach dotykowych.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Interfejsy użytkownika dostępne w wielu językach do wyboru w czasie instalacji – w tym polskim i angielskim.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 xml:space="preserve">Zlokalizowane w języku polskim, co najmniej następujące elementy: menu, odtwarzacz multimediów, klient poczty elektronicznej z kalendarzem spotkań, pomoc, komunikaty systemowe.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Wbudowany mechanizm pobierania map wektorowych z możliwością wykorzystania go przez zainstalowane w systemie aplikacje.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Wbudowany system pomocy w języku polskim.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Graficzne środowisko instalacji i konfiguracji dostępne w języku polskim.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Funkcje związane z obsługą komputerów typu tablet, z wbudowanym modułem „uczenia się” pisma użytkownika – obsługa języka polskiego.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Funkcjonalność rozpoznawania mowy, pozwalającą na sterowanie komputerem głosowo, wraz z modułem „uczenia się” głosu użytkownika.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dokonywania bezpłatnych aktualizacji i poprawek w ramach wersji systemu operacyjnego poprzez Internet, mechanizmem udostępnianym przez producenta z mechanizmem sprawdzającym, które z poprawek są potrzebne.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dokonywania aktualizacji i poprawek systemu poprzez mechanizm zarządzany przez administratora systemu Zamawiającego.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Dostępność bezpłatnych biuletynów bezpieczeństwa związanych z działaniem systemu operacyjnego.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 xml:space="preserve">Wbudowana zapora internetowa (firewall) dla ochrony połączeń internetowych; zintegrowana z systemem konsola do zarządzania ustawieniami zapory i regułami IP v4 i v6. 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Wbudowane mechanizmy ochrony antywirusowej i przeciw złośliwemu oprogramowaniu z zapewnionymi bezpłatnymi aktualizacjami.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Wsparcie dla większości powszechnie używanych urządzeń peryferyjnych (drukarek, urządzeń sieciowych, standardów USB, Plug&amp;Play, Wi-Fi).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Funkcjonalność automatycznej zmiany domyślnej drukarki w zależności od sieci, do której podłączony jest komputer.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zarządzania stacją roboczą poprzez polityki grupowe – przez politykę rozumiemy zestaw reguł definiujących lub ograniczających funkcjonalność systemu lub aplikacji.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Rozbudowane, definiowalne polityki bezpieczeństwa – polityki dla systemu operacyjnego i dla wskazanych aplikacji.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 xml:space="preserve">Możliwość zdalnej automatycznej instalacji, konfiguracji, administrowania oraz aktualizowania systemu, zgodnie z określonymi uprawnieniami poprzez polityki grupowe.  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Zabezpieczony hasłem hierarchiczny dostęp do systemu, konta i profile użytkowników zarządzane zdalnie; praca systemu w trybie ochrony kont użytkowników.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Mechanizm pozwalający użytkownikowi zarejestrowanego w systemie przedsiębiorstwa/instytucji urządzenia na uprawniony dostęp do zasobów tego systemu.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 xml:space="preserve">Zintegrowany z systemem operacyjnym moduł synchronizacji komputera z urządzeniami zewnętrznymi. 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/>
          <w:color w:val="000000"/>
          <w:lang w:val="en-US"/>
        </w:rPr>
        <w:t>Obsługa standardu NFC (near field communication).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 xml:space="preserve">Możliwość przystosowania stanowiska dla osób niepełnosprawnych (np. słabo widzących).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Wsparcie dla IPSEC oparte na politykach – wdrażanie IPSEC oparte na zestawach reguł definiujących ustawienia zarządzanych w sposób centralny.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Automatyczne występowanie i używanie (wystawianie) certyfikatów PKI X.509.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Mechanizmy uwierzytelniania w oparciu o: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Login i hasło,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Karty z certyfikatami (smartcard),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Wirtualne karty (logowanie w oparciu o certyfikat chroniony poprzez moduł TPM),</w:t>
      </w:r>
    </w:p>
    <w:p>
      <w:pPr>
        <w:pStyle w:val="ListParagraph"/>
        <w:numPr>
          <w:ilvl w:val="1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Wirtualnej tożsamości użytkownika potwierdzanej za pomocą usług katalogowych i 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PINu. Mechanizm musi być ze specyfikacją FIDO.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Mechanizmy wieloskładnikowego uwierzytelniania.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Wsparcie dla uwierzytelniania na bazie Kerberos v. 5.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Wsparcie do uwierzytelnienia urządzenia na bazie certyfikatu.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Wsparcie dla algorytmów Suite B (RFC 4869).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Mechanizm ograniczający możliwość uruchamiania aplikacji tylko do podpisanych cyfrowo (zaufanych) aplikacji zgodnie z politykami określonymi w organizacji.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Funkcjonalność tworzenia list zabronionych lub dopuszczonych do uruchamiania aplikacji, możliwość zarządzania listami centralnie za pomocą polityk. Możliwość blokowania aplikacji w zależności od wydawcy, nazwy produktu, nazwy pliku wykonywalnego, wersji pliku.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Izolacja mechanizmów bezpieczeństwa w dedykowanym środowisku wirtualnym.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Mechanizm automatyzacji dołączania do domeny i odłączania się od domeny.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zarządzania narzędziami zgodnymi ze specyfikacją Open Mobile Alliance (OMA) Device Management (DM) protocol 2.0,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selektywnego usuwania konfiguracji oraz danych określonych jako dane organizacji.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konfiguracji trybu „kioskowego” dającego dostęp tylko do wybranych aplikacji i funkcji systemu.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 xml:space="preserve">Wsparcie wbudowanej zapory ogniowej dla Internet Key Exchange v. 2 (IKEv2) dla warstwy transportowej IPsec.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Wbudowane narzędzia służące do administracji, do wykonywania kopii zapasowych polityk i ich odtwarzania oraz generowania raportów z ustawień polityk;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Wsparcie dla środowisk Java i .NET Framework 4.x – możliwość uruchomienia aplikacji działających we wskazanych środowiskach.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Wsparcie dla JScript i VBScript – możliwość uruchamiania interpretera poleceń.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Zdalna pomoc i współdzielenie aplikacji – możliwość zdalnego przejęcia sesji zalogowanego użytkownika celem rozwiązania problemu z komputerem.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Mechanizm pozwalający na dostosowanie konfiguracji systemu dla wielu użytkowników w organizacji bez konieczności tworzenia obrazu instalacyjnego. (provisioning).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Rozwiązanie umożliwiające wdrożenie nowego obrazu poprzez zdalną instalację.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Transakcyjny system plików pozwalający na stosowanie przydziałów (ang. quota) na dysku dla użytkowników oraz zapewniający większą niezawodność i pozwalający tworzyć kopie zapasowe.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Zarządzanie kontami użytkowników sieci oraz urządzeniami sieciowymi tj. drukarki, modemy, woluminy dyskowe, usługi katalogowe.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Udostępnianie wbudowanego modemu.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Oprogramowanie dla tworzenia kopii zapasowych (Backup); automatyczne wykonywanie kopii plików z możliwością automatycznego przywrócenia wersji wcześniejszej.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przywracania obrazu plików systemowych do uprzednio zapisanej postaci.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Identyfikacja sieci komputerowych, do których jest podłączony system operacyjny, zapamiętywanie ustawień i przypisywanie do min. 3 kategorii bezpieczeństwa (z predefiniowanymi odpowiednio do kategorii ustawieniami zapory sieciowej, udostępniania plików itp.).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blokowania lub dopuszczania dowolnych urządzeń peryferyjnych za pomocą polityk grupowych (np. przy użyciu numerów identyfikacyjnych sprzętu).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Wbudowany mechanizm wirtualizacji typu hypervisor, umożliwiający, zgodnie z uprawnieniami licencyjnymi, uruchomienie do 4 maszyn wirtualnych.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Mechanizm szyfrowania dysków wewnętrznych i zewnętrznych z możliwością szyfrowania ograniczonego do danych użytkownika.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Wbudowane w system narzędzie do szyfrowania partycji systemowych komputera, z możliwością przechowywania certyfikatów w mikrochipie TPM (Trusted Platform Module) w wersji minimum 1.2 lub na kluczach pamięci przenośnej USB.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Wbudowane w system narzędzie do szyfrowania dysków przenośnych, z możliwością centralnego zarządzania poprzez polityki grupowe, pozwalające na wymuszenie szyfrowania dysków przenośnych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tworzenia i przechowywania kopii zapasowych kluczy odzyskiwania do szyfrowania partycji w usługach katalogowych.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  <w:t>Możliwość instalowania dodatkowych języków interfejsu systemu operacyjnego oraz możliwość zmiany języka bez konieczności reinstalacji systemu.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</w:rPr>
      </w:r>
    </w:p>
    <w:p>
      <w:pPr>
        <w:pStyle w:val="Nagwek2"/>
        <w:numPr>
          <w:ilvl w:val="1"/>
          <w:numId w:val="2"/>
        </w:numPr>
        <w:tabs>
          <w:tab w:val="clear" w:pos="708"/>
          <w:tab w:val="left" w:pos="993" w:leader="none"/>
        </w:tabs>
        <w:rPr>
          <w:rFonts w:ascii="Calibri" w:hAnsi="Calibri" w:cs="Calibri" w:asciiTheme="minorHAnsi" w:cstheme="minorHAnsi" w:hAnsiTheme="minorHAnsi"/>
          <w:color w:val="auto"/>
        </w:rPr>
      </w:pPr>
      <w:bookmarkStart w:id="43" w:name="_Toc26522256"/>
      <w:bookmarkStart w:id="44" w:name="_Toc490362434"/>
      <w:bookmarkStart w:id="45" w:name="_Toc492989381"/>
      <w:bookmarkStart w:id="46" w:name="_Toc496206782"/>
      <w:r>
        <w:rPr>
          <w:rFonts w:cs="Calibri" w:ascii="Calibri" w:hAnsi="Calibri" w:asciiTheme="minorHAnsi" w:cstheme="minorHAnsi" w:hAnsiTheme="minorHAnsi"/>
          <w:color w:val="000000"/>
        </w:rPr>
        <w:t>Monitor typ A</w:t>
      </w:r>
      <w:bookmarkEnd w:id="43"/>
      <w:bookmarkEnd w:id="44"/>
      <w:bookmarkEnd w:id="45"/>
      <w:bookmarkEnd w:id="46"/>
    </w:p>
    <w:tbl>
      <w:tblPr>
        <w:tblW w:w="9067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62"/>
        <w:gridCol w:w="2967"/>
        <w:gridCol w:w="5638"/>
      </w:tblGrid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bookmarkStart w:id="47" w:name="_Hlk4933698731"/>
            <w:bookmarkEnd w:id="47"/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Wymagania minimalne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Ogólne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de-DE"/>
              </w:rPr>
              <w:t>1.1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23,8” Panoramiczny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de-DE"/>
              </w:rPr>
              <w:t>1.2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Typ Panelu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IPS z podświetleniem LED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Wielkość plamki (maksymalnie)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0,276 mm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Maksymalna rozdzielczość wyświetlania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1920 x 1080 przy 60Hz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Czas reakcji matrycy (maksymalnie)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  <w:lang w:val="en-US"/>
              </w:rPr>
              <w:t>6 ms (gray to gray)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250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Kontrast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Statyczny 1000:1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Kąt widzenia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poziomo/pionowo: 178°/ 178°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Częstotliwość odświeżania poziomego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31,5– 80 kHz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Częstotliwość odświeżania pionowego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56 – 75 Hz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Zachowane proporcje pomiędzy użyteczną powierzchnią obrazu i rozdzielczością pracy. Muszą być zachowane proporcje wyświetlanego obiektu (np. koła).</w:t>
            </w:r>
          </w:p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Ramka boczna i górna – poniżej 8 mm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  <w:shd w:fill="D9D9D9" w:val="clear"/>
              </w:rPr>
              <w:t>Porty Wejścia/Wyjścia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  <w:t xml:space="preserve">DVI/1 lub DisplayPort/1, HDMI/1, USB 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 zabezpieczający przed kradzieżą/1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Zamawiający wymaga, by z monitorem były dostarczone odpowiednie kable cyfrowe (DVI lub DisplayPort i HDMI) oraz dodatkowo kabel DisplayPort-DiplayPort lub DisplayPort-HDMI  o długości 1,5 m.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Certyfikacja Energy Star w wersji co najmniej 5.00 dla oferowanego modelu monitora – wymagane jest, aby oferowany model monitora znajdował się na liście produktów certyfikowanych przez U.S. Environemental Protection Agency (EPA) lub w innym spisie certyfikacyjnym i był uprawniony do oznaczenia logo Energy Star w wersji 5.00”. </w:t>
            </w:r>
          </w:p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Równocześnie Zamawiający wymaga dostarczenia kopii wyciągu/spisu certyfikacyjnego, zawierającego oferowane monitory. </w:t>
            </w:r>
            <w:r>
              <w:rPr>
                <w:color w:val="000000"/>
                <w:sz w:val="18"/>
                <w:szCs w:val="18"/>
              </w:rPr>
              <w:t>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eastAsia="pl-PL"/>
              </w:rPr>
              <w:t>Zamawiający wymaga dostarczenia 2 sztuk urządzenia</w:t>
            </w:r>
            <w:bookmarkStart w:id="48" w:name="_Hlk493369933"/>
            <w:bookmarkEnd w:id="48"/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1"/>
          <w:numId w:val="2"/>
        </w:numPr>
        <w:tabs>
          <w:tab w:val="clear" w:pos="708"/>
          <w:tab w:val="left" w:pos="993" w:leader="none"/>
        </w:tabs>
        <w:rPr>
          <w:rFonts w:ascii="Calibri" w:hAnsi="Calibri" w:cs="Calibri" w:asciiTheme="minorHAnsi" w:cstheme="minorHAnsi" w:hAnsiTheme="minorHAnsi"/>
          <w:color w:val="auto"/>
        </w:rPr>
      </w:pPr>
      <w:bookmarkStart w:id="49" w:name="_Toc490362435"/>
      <w:bookmarkStart w:id="50" w:name="_Toc492989382"/>
      <w:bookmarkStart w:id="51" w:name="_Toc496206783"/>
      <w:bookmarkStart w:id="52" w:name="_Toc26522257"/>
      <w:r>
        <w:rPr>
          <w:rFonts w:cs="Calibri" w:ascii="Calibri" w:hAnsi="Calibri" w:asciiTheme="minorHAnsi" w:cstheme="minorHAnsi" w:hAnsiTheme="minorHAnsi"/>
          <w:color w:val="000000"/>
        </w:rPr>
        <w:t>Monitor typ B</w:t>
      </w:r>
      <w:bookmarkEnd w:id="49"/>
      <w:bookmarkEnd w:id="50"/>
      <w:bookmarkEnd w:id="51"/>
      <w:bookmarkEnd w:id="52"/>
    </w:p>
    <w:tbl>
      <w:tblPr>
        <w:tblW w:w="9067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63"/>
        <w:gridCol w:w="2997"/>
        <w:gridCol w:w="5607"/>
      </w:tblGrid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Wymagania minimalne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Ogólne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de-DE"/>
              </w:rPr>
              <w:t>1.1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27” Panoramiczny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de-DE"/>
              </w:rPr>
              <w:t>1.2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Typ Panelu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IPS z podświetleniem LED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Wielkość plamki (maksymalnie)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color w:val="000000"/>
              </w:rPr>
              <w:t>0,233</w:t>
            </w: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 mm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Maksymalna rozdzielczość wyświetlania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color w:val="000000"/>
              </w:rPr>
              <w:t>2560 × 1440</w:t>
            </w: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 przy 60Hz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Czas reakcji matrycy  (maksymalnie)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  <w:lang w:val="en-US"/>
              </w:rPr>
              <w:t>6 ms (gray to gray)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350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Kontrast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1000:1 (statyczny)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Kąt widzenia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poziomo/pionowo: 178°/ 178°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Częstotliwość odświeżania poziomego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31,5 – 83  kHz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Częstotliwość odświeżania pionowego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56 – 75 Hz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Zachowane proporcje pomiędzy użyteczną powierzchnią obrazu i rozdzielczością pracy. Muszą być zachowane proporcje wyświetlanego obiektu (np. koła).</w:t>
            </w:r>
          </w:p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Ramka boczna i górna  – poniżej 8 mm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  <w:t xml:space="preserve">DisplayPort/1, HDMI/1, mDP/1 lub DVI/1, USB 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 zabezpieczający przed kradzieżą/1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Zamawiający wymaga, by z monitorem były dostarczone odpowiednie kable cyfrowe (DVI lub DisplayPort i HDMI) oraz dodatkowo kabel DisplayPort-DiplayPort lub DisplayPort-HDMI  o długości 1,5 m.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Certyfikacja Energy Star w wersji co najmniej 5.00 dla oferowanego modelu monitora –wymagane jest, aby oferowany model monitora znajdował się na liście produktów certyfikowanych przez U.S. Environemental Protection Agency (EPA) lub w innym spisie certyfikacyjnym i był uprawniony do oznaczenia logo Energy Star w wersji co najmniej 5.00. </w:t>
            </w:r>
          </w:p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Równocześnie Zamawiający wymaga dostarczenia kopii wyciągu/spisu certyfikacyjnego, zawierającego oferowane monitory. </w:t>
            </w:r>
            <w:r>
              <w:rPr>
                <w:color w:val="000000"/>
                <w:sz w:val="18"/>
                <w:szCs w:val="18"/>
              </w:rPr>
              <w:t>W przypadku, gdy oferowany sprzęt nie figuruje na tej liście i nie jest oznaczony logo ENERGY STAR, należy wykazać, że przeszedł on równoważne testy energetyczne i potwierdzić to stosownym świadectwem.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eastAsia="pl-PL"/>
              </w:rPr>
              <w:t>Zamawiający wymaga dostarczenia 2 sztuk urządzenia</w:t>
            </w:r>
            <w:bookmarkStart w:id="53" w:name="_Hlk493369989"/>
            <w:bookmarkEnd w:id="53"/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1"/>
          <w:numId w:val="2"/>
        </w:numPr>
        <w:tabs>
          <w:tab w:val="clear" w:pos="708"/>
          <w:tab w:val="left" w:pos="993" w:leader="none"/>
        </w:tabs>
        <w:rPr>
          <w:rFonts w:ascii="Calibri" w:hAnsi="Calibri" w:cs="Calibri" w:asciiTheme="minorHAnsi" w:cstheme="minorHAnsi" w:hAnsiTheme="minorHAnsi"/>
          <w:color w:val="auto"/>
        </w:rPr>
      </w:pPr>
      <w:bookmarkStart w:id="54" w:name="_Toc26522258"/>
      <w:bookmarkStart w:id="55" w:name="_Toc491674430"/>
      <w:bookmarkStart w:id="56" w:name="_Toc491674431"/>
      <w:bookmarkStart w:id="57" w:name="_Toc491674432"/>
      <w:bookmarkStart w:id="58" w:name="_Toc491674433"/>
      <w:bookmarkStart w:id="59" w:name="_Toc491674434"/>
      <w:bookmarkStart w:id="60" w:name="_Toc491674435"/>
      <w:bookmarkStart w:id="61" w:name="_Toc491674436"/>
      <w:bookmarkStart w:id="62" w:name="_Toc491674437"/>
      <w:bookmarkStart w:id="63" w:name="_Toc491674438"/>
      <w:bookmarkStart w:id="64" w:name="_Toc491674439"/>
      <w:bookmarkStart w:id="65" w:name="_Toc491674440"/>
      <w:bookmarkStart w:id="66" w:name="_Toc491674441"/>
      <w:bookmarkStart w:id="67" w:name="_Toc491674442"/>
      <w:bookmarkStart w:id="68" w:name="_Toc491674443"/>
      <w:bookmarkStart w:id="69" w:name="_Toc491674444"/>
      <w:bookmarkStart w:id="70" w:name="_Toc491674445"/>
      <w:bookmarkStart w:id="71" w:name="_Toc491674446"/>
      <w:bookmarkStart w:id="72" w:name="_Toc491674447"/>
      <w:bookmarkStart w:id="73" w:name="_Toc491674448"/>
      <w:bookmarkStart w:id="74" w:name="_Toc491674449"/>
      <w:bookmarkStart w:id="75" w:name="_Toc491674450"/>
      <w:bookmarkStart w:id="76" w:name="_Toc491674451"/>
      <w:bookmarkStart w:id="77" w:name="_Toc491674452"/>
      <w:bookmarkStart w:id="78" w:name="_Toc491674453"/>
      <w:bookmarkStart w:id="79" w:name="_Toc491674454"/>
      <w:bookmarkStart w:id="80" w:name="_Toc491674455"/>
      <w:bookmarkStart w:id="81" w:name="_Toc491674456"/>
      <w:bookmarkStart w:id="82" w:name="_Toc491674457"/>
      <w:bookmarkStart w:id="83" w:name="_Toc491674458"/>
      <w:bookmarkStart w:id="84" w:name="_Toc491674459"/>
      <w:bookmarkStart w:id="85" w:name="_Toc491674460"/>
      <w:bookmarkStart w:id="86" w:name="_Toc491674461"/>
      <w:bookmarkStart w:id="87" w:name="_Toc491674462"/>
      <w:bookmarkStart w:id="88" w:name="_Toc491674463"/>
      <w:bookmarkStart w:id="89" w:name="_Toc491674464"/>
      <w:bookmarkStart w:id="90" w:name="_Toc491674465"/>
      <w:bookmarkStart w:id="91" w:name="_Toc491674466"/>
      <w:bookmarkStart w:id="92" w:name="_Toc491674467"/>
      <w:bookmarkStart w:id="93" w:name="_Toc491674468"/>
      <w:bookmarkStart w:id="94" w:name="_Toc491674469"/>
      <w:bookmarkStart w:id="95" w:name="_Toc491674470"/>
      <w:bookmarkStart w:id="96" w:name="_Toc491674471"/>
      <w:bookmarkStart w:id="97" w:name="_Toc491674472"/>
      <w:bookmarkStart w:id="98" w:name="_Toc491674473"/>
      <w:bookmarkStart w:id="99" w:name="_Toc491674474"/>
      <w:bookmarkStart w:id="100" w:name="_Toc491674475"/>
      <w:bookmarkStart w:id="101" w:name="_Toc491674476"/>
      <w:bookmarkStart w:id="102" w:name="_Toc491674477"/>
      <w:bookmarkStart w:id="103" w:name="_Toc491674478"/>
      <w:bookmarkStart w:id="104" w:name="_Toc491674479"/>
      <w:bookmarkStart w:id="105" w:name="_Toc491674480"/>
      <w:bookmarkStart w:id="106" w:name="_Toc491674481"/>
      <w:bookmarkStart w:id="107" w:name="_Toc491674482"/>
      <w:bookmarkStart w:id="108" w:name="_Toc491674483"/>
      <w:bookmarkStart w:id="109" w:name="_Toc491674484"/>
      <w:bookmarkStart w:id="110" w:name="_Toc491674485"/>
      <w:bookmarkStart w:id="111" w:name="_Toc491674486"/>
      <w:bookmarkStart w:id="112" w:name="_Toc491674487"/>
      <w:bookmarkStart w:id="113" w:name="_Toc491674488"/>
      <w:bookmarkStart w:id="114" w:name="_Toc491674489"/>
      <w:bookmarkStart w:id="115" w:name="_Toc491674490"/>
      <w:bookmarkStart w:id="116" w:name="_Toc491674491"/>
      <w:bookmarkStart w:id="117" w:name="_Toc491674492"/>
      <w:bookmarkStart w:id="118" w:name="_Toc491674493"/>
      <w:bookmarkStart w:id="119" w:name="_Toc491674494"/>
      <w:bookmarkStart w:id="120" w:name="_Toc491674495"/>
      <w:bookmarkStart w:id="121" w:name="_Toc491674496"/>
      <w:bookmarkStart w:id="122" w:name="_Hlk493369532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rFonts w:cs="Calibri" w:ascii="Calibri" w:hAnsi="Calibri" w:asciiTheme="minorHAnsi" w:cstheme="minorHAnsi" w:hAnsiTheme="minorHAnsi"/>
          <w:color w:val="000000"/>
        </w:rPr>
        <w:t>Monitor typ C</w:t>
      </w:r>
      <w:bookmarkEnd w:id="54"/>
    </w:p>
    <w:tbl>
      <w:tblPr>
        <w:tblW w:w="9067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62"/>
        <w:gridCol w:w="2967"/>
        <w:gridCol w:w="5638"/>
      </w:tblGrid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Wymagania minimalne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 xml:space="preserve">Wyświetlacz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de-DE"/>
              </w:rPr>
              <w:t>1.1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</w:rPr>
              <w:t>Przekątna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257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Min. 85”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de-DE"/>
              </w:rPr>
              <w:t>1.2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Rozdzielczość ekranu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4K/UHD (3840 × 2160) @60 Hz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Czas reakcji matrycy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Maks. 8ms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Wyświetlane kolory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10,07mld (10bit)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Jasność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350 cd/m</w:t>
            </w:r>
            <w:r>
              <w:rPr>
                <w:rFonts w:cs="Calibri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Kąty widzenia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178</w:t>
            </w:r>
            <w:r>
              <w:rPr>
                <w:rFonts w:cs="Calibri" w:cstheme="minorHAnsi"/>
                <w:color w:val="000000"/>
                <w:sz w:val="18"/>
                <w:szCs w:val="18"/>
                <w:vertAlign w:val="superscript"/>
              </w:rPr>
              <w:t>o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1200:1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Żywotność matrycy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30 000 godzin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Szyba frontowa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Szkło hartowane, grubość min. 4mm lub twardość 7 w skali Mohs, antyodblaskowa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Parametry dotyku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Liczba obsługiwanych punktów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Min. 10 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Narzędzie dotyku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Palec i pióro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Wspierane systemy operacyjne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  <w:t>Windows 10 i Android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Porty wejściowe HDMI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  <w:t>2xHDMI 2.0 (4K @ 60Hz)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 wyjściowy HDMI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  <w:t>1 sztuka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 wejściowy VGA lub DisplayPort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  <w:t>1 sztuka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Porty audio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  <w:t>1x wejście/1x wyjście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Porty USB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2x USB 2.0 / 1x USB 3.0 (lub nowsze)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 tym porty USB na froncie monitora 2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Porty USB interfejsu dotykowego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 szt.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 sterowania RS232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 LAN (RJ45)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Min. 1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Gniazdo do komputera typu OPS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Tak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Moduł wi-fi w zestawie z monitorem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Wbudowane głośniki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2x min. 15W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Moduł sterujący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</w:rPr>
              <w:t>Język menu (OSD)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Polski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</w:rPr>
              <w:t>Rozdzielczość systemu modułu sterującego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zgodna z natywną rozdzielczością matrycy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</w:rPr>
              <w:t>Aplikacje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Aplikacja do nanoszenia notatek na wyświetlanym obrazie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</w:rPr>
              <w:t xml:space="preserve">Oprogramowanie dla min. systemów Windows 10 i Android  kompatybilne z aplikacją do nanoszenia notatek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Oprogramowanie umożliwiające odczyt notatek, wyeksportowanych z urządzenia, dołączone w zestawie lub możliwość odczytu notatek za pomocą narzędzi wbudowanych w systemy operacyjne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</w:rPr>
              <w:t>Funkcje bezprzewodowej transmisji obrazu i dźwięku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</w:rPr>
              <w:t>Funkcjonalność bezprzewodowego przesyłania obrazu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Monitor musi umożliwiać podłączenie  bezprzewodowe minimum 8 komputerów lub urządzeń mobilnych na raz i wyświetlanie do czterech obrazów jednocześnie. Funkcjonalność może zostać zrealizowana za pomocą dedykowanych urządzeń rozszerzających, oferowanych przez producenta monitora.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</w:rPr>
              <w:t>Moduł do bezprzewodowego przesyłania obrazu, dźwięku i dotyku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Moduł złożony z urządzenia transmitującego i odbiorczego. Urządzenie transmitujące podłączane przez USB do komputera, nie wymagające instalacji na komputerze dodatkowego oprogramowania.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</w:rPr>
              <w:t>Akcesoria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</w:rPr>
              <w:t>Zestaw akcesoriów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kabel zasilający (3 m), kabel USB (5 m), kabel HDMI (3 m), pisaki (2 szt.), pilot zdalnego sterowania, skrócona instrukcja obsługi PL, pendrive z oprogramowaniem i sterownikami, moduł WiFi/Bluetooth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Stelaż montażowy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Mobilny (na gumowych kółkach), tj. umożliwiający swobodne przemieszczanie zestawu, dostosowany do montażu dostarczanego monitora wraz z osprzętem.</w:t>
            </w:r>
          </w:p>
        </w:tc>
      </w:tr>
      <w:tr>
        <w:trPr>
          <w:trHeight w:val="170" w:hRule="atLeast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eastAsia="pl-PL"/>
              </w:rPr>
              <w:t>Zamawiający wymaga dostarczenia 1 sztuki urządzenia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ab/>
      </w:r>
    </w:p>
    <w:p>
      <w:pPr>
        <w:pStyle w:val="Nagwek2"/>
        <w:numPr>
          <w:ilvl w:val="1"/>
          <w:numId w:val="2"/>
        </w:numPr>
        <w:tabs>
          <w:tab w:val="clear" w:pos="708"/>
          <w:tab w:val="left" w:pos="993" w:leader="none"/>
        </w:tabs>
        <w:rPr>
          <w:rFonts w:ascii="Calibri" w:hAnsi="Calibri" w:cs="Calibri" w:asciiTheme="minorHAnsi" w:cstheme="minorHAnsi" w:hAnsiTheme="minorHAnsi"/>
          <w:color w:val="auto"/>
        </w:rPr>
      </w:pPr>
      <w:bookmarkStart w:id="123" w:name="_Toc26522259"/>
      <w:bookmarkStart w:id="124" w:name="_Toc492989378"/>
      <w:bookmarkStart w:id="125" w:name="_Toc496206779"/>
      <w:r>
        <w:rPr>
          <w:rFonts w:cs="Calibri" w:ascii="Calibri" w:hAnsi="Calibri" w:asciiTheme="minorHAnsi" w:cstheme="minorHAnsi" w:hAnsiTheme="minorHAnsi"/>
          <w:color w:val="000000"/>
        </w:rPr>
        <w:t>Projektor</w:t>
      </w:r>
      <w:bookmarkEnd w:id="123"/>
      <w:bookmarkEnd w:id="124"/>
      <w:bookmarkEnd w:id="125"/>
    </w:p>
    <w:tbl>
      <w:tblPr>
        <w:tblW w:w="9072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97"/>
        <w:gridCol w:w="1983"/>
        <w:gridCol w:w="6592"/>
      </w:tblGrid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bookmarkStart w:id="126" w:name="_Hlk493369550"/>
            <w:bookmarkStart w:id="127" w:name="_Hlk4933695321"/>
            <w:bookmarkEnd w:id="126"/>
            <w:bookmarkEnd w:id="127"/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Wymagania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minimalne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Technika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wyświetlania obrazu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System projekcyjny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Technologia LCD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Obraz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Minimum 5000 ANSI Lumenów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Rozdzielczość natywna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1920x1200 (WUXGA)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Minimum 20000:1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Lampa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Żywotność min. 12000h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Korekcja obrazu (Keystone)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± 30 ° w pionie i ± 30 °poziomie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Lens shift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 pionie i poziomie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Obiektyw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Współczynnik projekcji 1,35-2,0:1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Rozmiar obrazu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</w:rPr>
              <w:t>min.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60 - 200 cali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Złącza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Dostępne przyłącza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 xml:space="preserve">2x wejście HDMI, 1x wejście VGA, 1x Interfejs Ethernet (min. 100 Base-TX / 10 Base-T), 1x RS-232, 1x wejście audio 1x wyjście audio, </w:t>
            </w:r>
            <w:r>
              <w:rPr>
                <w:color w:val="000000"/>
                <w:sz w:val="18"/>
              </w:rPr>
              <w:t>1x USB 2.0 typu A, 1x USB 2.0 typu B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Poziom szumu/hałasu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38 dB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Napięcie zasilania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100-240 V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Wbudowany głośnik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Minimum 10 W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Dodatkowe elementy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pilot, menu ekranowe w języku polskim, adapter WiFi umożliwiający przesyłanie obrazu bezprzewodowo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Zamawiający wymaga dostarczenia 1 sztuki projektora.</w:t>
            </w:r>
          </w:p>
        </w:tc>
      </w:tr>
    </w:tbl>
    <w:p>
      <w:pPr>
        <w:pStyle w:val="Nagwek1"/>
        <w:numPr>
          <w:ilvl w:val="0"/>
          <w:numId w:val="2"/>
        </w:numPr>
        <w:rPr>
          <w:color w:val="auto"/>
        </w:rPr>
      </w:pPr>
      <w:bookmarkStart w:id="128" w:name="_Toc26522260"/>
      <w:bookmarkStart w:id="129" w:name="_Hlk4933695501"/>
      <w:bookmarkEnd w:id="129"/>
      <w:r>
        <w:rPr>
          <w:rFonts w:ascii="Calibri" w:hAnsi="Calibri"/>
          <w:color w:val="000000"/>
        </w:rPr>
        <w:t>Specyfikacja techniczna – Część 2. zamówienia</w:t>
      </w:r>
      <w:bookmarkEnd w:id="128"/>
    </w:p>
    <w:p>
      <w:pPr>
        <w:pStyle w:val="Nagwek2"/>
        <w:numPr>
          <w:ilvl w:val="1"/>
          <w:numId w:val="2"/>
        </w:numPr>
        <w:tabs>
          <w:tab w:val="clear" w:pos="708"/>
          <w:tab w:val="left" w:pos="993" w:leader="none"/>
        </w:tabs>
        <w:rPr>
          <w:rFonts w:ascii="Calibri" w:hAnsi="Calibri" w:cs="Calibri" w:asciiTheme="minorHAnsi" w:cstheme="minorHAnsi" w:hAnsiTheme="minorHAnsi"/>
          <w:color w:val="auto"/>
        </w:rPr>
      </w:pPr>
      <w:bookmarkStart w:id="130" w:name="_Toc26522261"/>
      <w:r>
        <w:rPr>
          <w:rFonts w:cs="Calibri" w:ascii="Calibri" w:hAnsi="Calibri" w:asciiTheme="minorHAnsi" w:cstheme="minorHAnsi" w:hAnsiTheme="minorHAnsi"/>
          <w:color w:val="000000"/>
        </w:rPr>
        <w:t>Ploter A0</w:t>
      </w:r>
      <w:bookmarkEnd w:id="130"/>
    </w:p>
    <w:tbl>
      <w:tblPr>
        <w:tblW w:w="9073" w:type="dxa"/>
        <w:jc w:val="left"/>
        <w:tblInd w:w="-71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644"/>
        <w:gridCol w:w="1838"/>
        <w:gridCol w:w="45"/>
        <w:gridCol w:w="44"/>
        <w:gridCol w:w="6502"/>
      </w:tblGrid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>Nazwa komponentu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18"/>
                <w:szCs w:val="18"/>
              </w:rPr>
              <w:t xml:space="preserve">Wymagania </w:t>
            </w: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minimalne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Ogólne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Kolorowe wielofunkcyjne kompaktowe cyfrowe urządzenie poligraficzne.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Funkcjonalności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Kopiowanie, skanowanie, drukowanie - monochromatyczne (mono) oraz kolorowe.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Technologia obrazowania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Trwały, nierozmywający się atrament pigmentowy lub toner, wydruki odporne na działanie wilgoci.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Drukowanie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Minimalna szybkość druku formatu A1 monochromatyczna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220 szt./godz.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Minimalna szybkość druku formatu A1 kolor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210 szt./godz. 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Podajniki papieru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Drukowanie z rolek o średnicy rdzenia 3” i opcjonalnie 2”.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Ilość podajników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Min. 4 automatyczne podajniki rolkowe. 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Szerokość papieru na rolce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 xml:space="preserve">297 – 1016 </w:t>
            </w:r>
            <w:r>
              <w:rPr>
                <w:rFonts w:eastAsia="Trebuchet MS" w:cs="Calibri" w:cstheme="minorHAnsi"/>
                <w:color w:val="000000"/>
                <w:sz w:val="18"/>
                <w:szCs w:val="18"/>
              </w:rPr>
              <w:t>mm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Gramatura papieru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70 – 160 g/m2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Zestaw startowy toneru lub atramentu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Zestaw startowy powinien w zależności od przyjętej technologii druku zawierać odpowiednio kompletne i pełne pojemniki z tonerem lub atramentem.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Oprogramowanie wspomagające drukowanie plików bez konieczności ich otwierania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Oprogramowanie w języku polskim bez ograniczenia ilości bezpłatnych licencji umożliwiające wysyłanie wielu plików TIFF, JPG, PLT, PRN, HPGL/2 bez konieczności otwierania każdego pliku osobno wraz z funkcją podglądu, automatycznego wyboru nośnika (rolki) i jakości wydruku oraz możliwością edycji parametrów drukowania.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Skalowanie jakości wydruku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Minimum 3 tryby pracy urządzenia w tym funkcja automatycznej analizy treści dokumentu przez urządzenie wraz z automatycznym wyborem jakości druku w celu optymalizacji parametrów jakości i prędkości druku bez konieczności wykonywania ustawień przez operatora.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Skanowanie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Technologia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  <w:lang w:val="en-US"/>
              </w:rPr>
              <w:t>CIS lub CCD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Szerokość skanowania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Od 210 do 914 mm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Długość skanowanego wzorca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Od 210 do co najmniej 15000 mm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Automatyczne rozpoznawanie  rozmiarów skanowanego dokumentu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Tak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Powiększenie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Od 10 do 1000%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Minimalna szybkość skanowania czarno biała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14 metrów/min.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Minimalna szybkość skanowania kolor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rebuchet MS" w:cs="Calibri" w:cstheme="minorHAnsi"/>
                <w:color w:val="000000"/>
                <w:sz w:val="18"/>
                <w:szCs w:val="18"/>
              </w:rPr>
              <w:t>4 metrów/min.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Rozdzielczość skanowania osiągana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Min. 550 dpi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Wyjściowe formaty skanowania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JPEG, PDF, PDF/A, TIFF w tym wielostronicowe PDF; PDF/A i TIFF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Skanowane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Mapy, rysunki, linie, tekst (opisy na mapach), szkice, fotografia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Skanowanie materiałów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Papier, kalka, folia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Automatyczne czyszczenie /rozjaśnianie tła dla wszystkich rodzajów skanowanych /kopiowanych dokumentów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Osobna funkcja odpowiedzialna za kompensację tła (włączana bądź wyłączana przez operatora). Funkcja ta ma być niezależna od funkcji rozjaśnienia, przyciemniania obrazu.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Kopiowanie</w:t>
            </w:r>
            <w:bookmarkStart w:id="131" w:name="_Hlk13079172"/>
            <w:bookmarkEnd w:id="131"/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Kopiowanie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Kolorowe i monochromatyczne z funkcją automatycznego czyszczenia tła niezależnie od funkcji rozjaśnienia.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Obsługa kopiowania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Wszystkie funkcje dostępne na panelu urządzenia.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Kopiowanie z materiałów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Papier, kalka, folia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Skalowanie w zakresie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10% - 1000%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Szerokość kopiowanych oryginałów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Od 210 do 914 mm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Automatyczne rozpoznawanie szerokości oryginału i wybór rolki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Automatyczny oraz ręczny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Kontroler urządzenia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Oprogramowanie systemowe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Dla systemu Windows 10 (64-bitowego) oraz dla ew. innego systemu dostarczanego z komputerami stacjonarnymi opisanymi w rozdziałach 2.1. i 2.2. oraz laptopami opisanymi w rozdziałach 2.3., 2.4. i 2.5.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Oprogramowanie użytkowe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 języku polskim obrazujące podstawowe nastawy plotera, stan tonerów, formaty założonych nośników papieru, kolejkowanie zadań z możliwością ich wstrzymywania, powtarzania.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Wielordzeniowy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Pamięć RAM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Min. 8 GB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Dysk twardy, pojemność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Min. 500 GB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Interfejs sieciowy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US"/>
              </w:rPr>
              <w:t>Min. Ethernet RJ45 100/1000 Mb/s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Język opisu strony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US"/>
              </w:rPr>
              <w:t>HP-GL/2, TIFF, JPEG, Adobe PostScript 3, Adobe PDF 1.7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Dołączone, zapewniające wykonywanie wszystkich możliwych operacji (skanowania, kopiowania i drukowania) w języku polskim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Zarządzanie pracą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Podglądanie, wyświetlanie, edytowanie, kolejkowanie, usuwanie, wysyłanie, zapisywanie modyfikacja kolejności zleceń, historia zdarzeń, monitorowanie ilości wydruków i materiałów eksploatacyjnych; użytkownik może wyświetlać stan drukarki i uzyskiwać dostęp do dokumentu pomocy online w języku polskim.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Narzędzia administratora – rozliczanie prac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Informacja na temat ilości zużytego toneru lub atramentu dla każdej wykonanej pracy.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Interfejs użytkownika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Ekran dotykowy, kolorowy panel użytkownika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Rozmiar ekranu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Min. 8 cali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Rozdzielczość ekranu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Min. 600 x 600 pikseli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Liczba kolorów ekranu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Min. 16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100–240 V, 50–60 Hz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Energia pobrana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Max.: Tryb uśpienia: 3 W; w trybie gotowości: 200 W; podczas działania: 400 W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Poziom hałasu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Max: Stan gotowości: 40 dB; podczas działania: 60 dB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Certyfikaty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US"/>
              </w:rPr>
              <w:t>CE, ENERGY STAR®</w:t>
            </w:r>
            <w:r>
              <w:rPr>
                <w:rStyle w:val="Zakotwiczenieprzypisudolnego"/>
                <w:rFonts w:asciiTheme="minorHAnsi" w:hAnsiTheme="minorHAnsi"/>
                <w:color w:val="000000"/>
                <w:sz w:val="18"/>
                <w:szCs w:val="18"/>
                <w:lang w:val="en-US"/>
              </w:rPr>
              <w:footnoteReference w:id="2"/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Sterowniki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Wbudowany sterownik systemu co najmniej dla Windows 10 (64-bitowego) oraz dla ew. innego systemu dostarczanego z komputerami stacjonarnymi opisanymi w rozdziałach 2.1. i 2.2. oraz laptopami opisanymi w rozdziałach 2.3., 2.4. i 2.5.</w:t>
            </w:r>
          </w:p>
        </w:tc>
      </w:tr>
      <w:tr>
        <w:trPr>
          <w:trHeight w:val="17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Zamawiający wymaga dostarczenia 1 sztuki plotera.</w:t>
            </w:r>
            <w:bookmarkStart w:id="132" w:name="_Hlk493369797"/>
            <w:bookmarkStart w:id="133" w:name="_Hlk13078693"/>
            <w:bookmarkEnd w:id="132"/>
            <w:bookmarkEnd w:id="133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color w:val="000000"/>
        </w:rPr>
      </w:pPr>
      <w:r>
        <w:rPr>
          <w:color w:val="000000"/>
        </w:rPr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708" w:top="251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Exo 2.0 Medium">
    <w:charset w:val="ee"/>
    <w:family w:val="roman"/>
    <w:pitch w:val="variable"/>
  </w:font>
  <w:font w:name="Exo 2.0 Light">
    <w:charset w:val="ee"/>
    <w:family w:val="roman"/>
    <w:pitch w:val="variable"/>
  </w:font>
  <w:font w:name="Combria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ucida Sans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CIDFont+F5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yriad Pr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72928809"/>
    </w:sdtPr>
    <w:sdtContent>
      <w:p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</w:r>
      </w:p>
      <w:p>
        <w:pPr>
          <w:pStyle w:val="Stopka"/>
          <w:jc w:val="center"/>
          <w:rPr>
            <w:sz w:val="22"/>
            <w:szCs w:val="22"/>
          </w:rPr>
        </w:pPr>
        <w:r>
          <w:rPr/>
          <w:drawing>
            <wp:inline distT="0" distB="0" distL="0" distR="0">
              <wp:extent cx="5495290" cy="247650"/>
              <wp:effectExtent l="0" t="0" r="0" b="0"/>
              <wp:docPr id="2" name="Obraz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290" cy="247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>
        <w:pPr>
          <w:pStyle w:val="Stopka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 xml:space="preserve">Strona </w:t>
        </w:r>
        <w:r>
          <w:rPr>
            <w:b/>
            <w:sz w:val="22"/>
            <w:szCs w:val="22"/>
          </w:rPr>
          <w:fldChar w:fldCharType="begin"/>
        </w:r>
        <w:r>
          <w:rPr>
            <w:sz w:val="22"/>
            <w:b/>
            <w:szCs w:val="22"/>
          </w:rPr>
          <w:instrText> PAGE </w:instrText>
        </w:r>
        <w:r>
          <w:rPr>
            <w:sz w:val="22"/>
            <w:b/>
            <w:szCs w:val="22"/>
          </w:rPr>
          <w:fldChar w:fldCharType="separate"/>
        </w:r>
        <w:r>
          <w:rPr>
            <w:sz w:val="22"/>
            <w:b/>
            <w:szCs w:val="22"/>
          </w:rPr>
          <w:t>1</w:t>
        </w:r>
        <w:r>
          <w:rPr>
            <w:sz w:val="22"/>
            <w:b/>
            <w:szCs w:val="22"/>
          </w:rPr>
          <w:fldChar w:fldCharType="end"/>
        </w:r>
        <w:r>
          <w:rPr>
            <w:sz w:val="22"/>
            <w:szCs w:val="22"/>
          </w:rPr>
          <w:t xml:space="preserve"> z </w:t>
        </w:r>
        <w:r>
          <w:rPr>
            <w:b/>
            <w:sz w:val="22"/>
            <w:szCs w:val="22"/>
          </w:rPr>
          <w:fldChar w:fldCharType="begin"/>
        </w:r>
        <w:r>
          <w:rPr>
            <w:sz w:val="22"/>
            <w:b/>
            <w:szCs w:val="22"/>
          </w:rPr>
          <w:instrText> NUMPAGES </w:instrText>
        </w:r>
        <w:r>
          <w:rPr>
            <w:sz w:val="22"/>
            <w:b/>
            <w:szCs w:val="22"/>
          </w:rPr>
          <w:fldChar w:fldCharType="separate"/>
        </w:r>
        <w:r>
          <w:rPr>
            <w:sz w:val="22"/>
            <w:b/>
            <w:szCs w:val="22"/>
          </w:rPr>
          <w:t>25</w:t>
        </w:r>
        <w:r>
          <w:rPr>
            <w:sz w:val="22"/>
            <w:b/>
            <w:szCs w:val="22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jc w:val="center"/>
      <w:rPr/>
    </w:pPr>
    <w:r>
      <w:rPr/>
      <w:drawing>
        <wp:inline distT="0" distB="0" distL="0" distR="0">
          <wp:extent cx="5495290" cy="247650"/>
          <wp:effectExtent l="0" t="0" r="0" b="0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center"/>
      <w:rPr/>
    </w:pPr>
    <w:r>
      <w:rPr/>
      <w:t xml:space="preserve">Strona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z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25</w:t>
    </w:r>
    <w:r>
      <w:rPr>
        <w:b/>
        <w:bCs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8"/>
          <w:szCs w:val="18"/>
        </w:rPr>
        <w:t>W przypadku, gdy oferowany sprzęt nie figuruje w zestawieniu ENERGY STAR, należy wykazać, że przeszedł on równoważne testy energetyczne i potwierdzić to stosownym świadectwem.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CellMar>
        <w:top w:w="28" w:type="dxa"/>
        <w:left w:w="57" w:type="dxa"/>
        <w:bottom w:w="28" w:type="dxa"/>
        <w:right w:w="57" w:type="dxa"/>
      </w:tblCellMar>
      <w:tblLook w:firstRow="1" w:noVBand="0" w:lastRow="1" w:firstColumn="1" w:lastColumn="1" w:noHBand="0" w:val="01e0"/>
    </w:tblPr>
    <w:tblGrid>
      <w:gridCol w:w="1130"/>
      <w:gridCol w:w="7941"/>
    </w:tblGrid>
    <w:tr>
      <w:trPr>
        <w:trHeight w:val="815" w:hRule="atLeast"/>
        <w:cantSplit w:val="true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uppressAutoHyphens w:val="true"/>
            <w:spacing w:lineRule="auto" w:line="240" w:before="0" w:after="0"/>
            <w:jc w:val="both"/>
            <w:rPr>
              <w:rFonts w:eastAsia="Times New Roman"/>
              <w:color w:val="00000A"/>
              <w:kern w:val="2"/>
              <w:szCs w:val="24"/>
              <w:lang w:eastAsia="pl-PL"/>
            </w:rPr>
          </w:pPr>
          <w:r>
            <w:rPr>
              <w:rFonts w:eastAsia="Times New Roman"/>
              <w:color w:val="00000A"/>
              <w:kern w:val="2"/>
              <w:szCs w:val="24"/>
              <w:lang w:eastAsia="pl-PL"/>
            </w:rPr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156845</wp:posOffset>
                </wp:positionH>
                <wp:positionV relativeFrom="paragraph">
                  <wp:posOffset>3810</wp:posOffset>
                </wp:positionV>
                <wp:extent cx="6019165" cy="488950"/>
                <wp:effectExtent l="0" t="0" r="0" b="0"/>
                <wp:wrapNone/>
                <wp:docPr id="1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16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24" w:hRule="atLeast"/>
        <w:cantSplit w:val="true"/>
      </w:trPr>
      <w:tc>
        <w:tcPr>
          <w:tcW w:w="1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uppressAutoHyphens w:val="true"/>
            <w:spacing w:lineRule="auto" w:line="240" w:before="0" w:after="0"/>
            <w:jc w:val="center"/>
            <w:rPr>
              <w:color w:val="00000A"/>
              <w:kern w:val="2"/>
              <w:sz w:val="16"/>
            </w:rPr>
          </w:pPr>
          <w:r>
            <w:rPr>
              <w:color w:val="00000A"/>
              <w:kern w:val="2"/>
              <w:sz w:val="16"/>
            </w:rPr>
            <w:t>Zamówienie</w:t>
          </w:r>
        </w:p>
      </w:tc>
      <w:tc>
        <w:tcPr>
          <w:tcW w:w="7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uppressAutoHyphens w:val="true"/>
            <w:spacing w:lineRule="auto" w:line="240" w:before="0" w:after="0"/>
            <w:jc w:val="center"/>
            <w:rPr>
              <w:rFonts w:eastAsia="Times New Roman"/>
              <w:b/>
              <w:b/>
              <w:i/>
              <w:i/>
              <w:iCs/>
              <w:color w:val="00000A"/>
              <w:kern w:val="2"/>
              <w:sz w:val="16"/>
              <w:szCs w:val="16"/>
              <w:lang w:eastAsia="pl-PL"/>
            </w:rPr>
          </w:pPr>
          <w:r>
            <w:rPr>
              <w:rFonts w:cs="Calibri" w:cstheme="minorHAnsi"/>
              <w:i/>
              <w:iCs/>
              <w:sz w:val="16"/>
              <w:szCs w:val="16"/>
            </w:rPr>
            <w:t>„</w:t>
          </w:r>
          <w:r>
            <w:rPr>
              <w:rFonts w:cs="Calibri" w:cstheme="minorHAnsi"/>
              <w:bCs/>
              <w:i/>
              <w:iCs/>
              <w:sz w:val="16"/>
              <w:szCs w:val="16"/>
            </w:rPr>
            <w:t>Dostawa biurowego sprzętu informatycznego z oprogramowaniem standardowym</w:t>
          </w:r>
          <w:r>
            <w:rPr>
              <w:rFonts w:cs="Calibri" w:cstheme="minorHAnsi"/>
              <w:i/>
              <w:sz w:val="16"/>
              <w:szCs w:val="16"/>
            </w:rPr>
            <w:t xml:space="preserve"> oraz dostawa urządzenia do kolorowego i monochromatycznego drukowania, kopiowania i skanowania wielkoformatowych dokumentów</w:t>
          </w:r>
          <w:r>
            <w:rPr>
              <w:rFonts w:cs="Calibri" w:cstheme="minorHAnsi"/>
              <w:bCs/>
              <w:i/>
              <w:iCs/>
              <w:sz w:val="16"/>
              <w:szCs w:val="16"/>
            </w:rPr>
            <w:t>”</w:t>
          </w:r>
        </w:p>
      </w:tc>
    </w:tr>
    <w:tr>
      <w:trPr>
        <w:trHeight w:val="362" w:hRule="atLeast"/>
        <w:cantSplit w:val="true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Załącznik nr 4 do SIWZ - Szczegółowy Opis Przedmiotu Zamówienia</w:t>
          </w:r>
        </w:p>
        <w:p>
          <w:pPr>
            <w:pStyle w:val="Normal"/>
            <w:spacing w:lineRule="auto" w:line="240" w:before="0" w:after="0"/>
            <w:jc w:val="center"/>
            <w:rPr>
              <w:b/>
              <w:b/>
              <w:color w:val="000000"/>
              <w:sz w:val="18"/>
              <w:szCs w:val="18"/>
              <w:lang w:eastAsia="pl-PL"/>
            </w:rPr>
          </w:pPr>
          <w:r>
            <w:rPr>
              <w:color w:val="000000"/>
              <w:sz w:val="16"/>
            </w:rPr>
            <w:t>nr sprawy BGW-III.272.1.2020</w:t>
          </w:r>
        </w:p>
      </w:tc>
    </w:tr>
  </w:tbl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CellMar>
        <w:top w:w="28" w:type="dxa"/>
        <w:left w:w="57" w:type="dxa"/>
        <w:bottom w:w="28" w:type="dxa"/>
        <w:right w:w="57" w:type="dxa"/>
      </w:tblCellMar>
      <w:tblLook w:firstRow="1" w:noVBand="0" w:lastRow="1" w:firstColumn="1" w:lastColumn="1" w:noHBand="0" w:val="01e0"/>
    </w:tblPr>
    <w:tblGrid>
      <w:gridCol w:w="1130"/>
      <w:gridCol w:w="7941"/>
    </w:tblGrid>
    <w:tr>
      <w:trPr>
        <w:trHeight w:val="815" w:hRule="atLeast"/>
        <w:cantSplit w:val="true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uppressAutoHyphens w:val="true"/>
            <w:spacing w:lineRule="auto" w:line="240" w:before="0" w:after="0"/>
            <w:jc w:val="both"/>
            <w:rPr>
              <w:rFonts w:eastAsia="Times New Roman"/>
              <w:color w:val="00000A"/>
              <w:kern w:val="2"/>
              <w:szCs w:val="24"/>
              <w:lang w:eastAsia="pl-PL"/>
            </w:rPr>
          </w:pPr>
          <w:r>
            <w:rPr>
              <w:rFonts w:eastAsia="Times New Roman"/>
              <w:color w:val="00000A"/>
              <w:kern w:val="2"/>
              <w:szCs w:val="24"/>
              <w:lang w:eastAsia="pl-PL"/>
            </w:rPr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156845</wp:posOffset>
                </wp:positionH>
                <wp:positionV relativeFrom="paragraph">
                  <wp:posOffset>3810</wp:posOffset>
                </wp:positionV>
                <wp:extent cx="6019165" cy="488950"/>
                <wp:effectExtent l="0" t="0" r="0" b="0"/>
                <wp:wrapNone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16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24" w:hRule="atLeast"/>
        <w:cantSplit w:val="true"/>
      </w:trPr>
      <w:tc>
        <w:tcPr>
          <w:tcW w:w="1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uppressAutoHyphens w:val="true"/>
            <w:spacing w:lineRule="auto" w:line="240" w:before="0" w:after="0"/>
            <w:jc w:val="center"/>
            <w:rPr>
              <w:color w:val="00000A"/>
              <w:kern w:val="2"/>
              <w:sz w:val="16"/>
            </w:rPr>
          </w:pPr>
          <w:r>
            <w:rPr>
              <w:color w:val="00000A"/>
              <w:kern w:val="2"/>
              <w:sz w:val="16"/>
            </w:rPr>
            <w:t>Zamówienie</w:t>
          </w:r>
        </w:p>
      </w:tc>
      <w:tc>
        <w:tcPr>
          <w:tcW w:w="7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uppressAutoHyphens w:val="true"/>
            <w:spacing w:lineRule="auto" w:line="240" w:before="0" w:after="0"/>
            <w:jc w:val="center"/>
            <w:rPr>
              <w:rFonts w:eastAsia="Times New Roman"/>
              <w:b/>
              <w:b/>
              <w:i/>
              <w:i/>
              <w:iCs/>
              <w:color w:val="00000A"/>
              <w:kern w:val="2"/>
              <w:sz w:val="16"/>
              <w:szCs w:val="16"/>
              <w:lang w:eastAsia="pl-PL"/>
            </w:rPr>
          </w:pPr>
          <w:r>
            <w:rPr>
              <w:rFonts w:cs="Calibri" w:cstheme="minorHAnsi"/>
              <w:i/>
              <w:iCs/>
              <w:sz w:val="16"/>
              <w:szCs w:val="16"/>
            </w:rPr>
            <w:t>„</w:t>
          </w:r>
          <w:r>
            <w:rPr>
              <w:rFonts w:cs="Calibri" w:cstheme="minorHAnsi"/>
              <w:bCs/>
              <w:i/>
              <w:iCs/>
              <w:sz w:val="16"/>
              <w:szCs w:val="16"/>
            </w:rPr>
            <w:t>Dostawa biurowego sprzętu informatycznego z oprogramowaniem standardowym</w:t>
          </w:r>
          <w:r>
            <w:rPr>
              <w:rFonts w:cs="Calibri" w:cstheme="minorHAnsi"/>
              <w:i/>
              <w:sz w:val="16"/>
              <w:szCs w:val="16"/>
            </w:rPr>
            <w:t xml:space="preserve"> oraz dostawa urządzenia do kolorowego i monochromatycznego drukowania, kopiowania i skanowania wielkoformatowych dokumentów</w:t>
          </w:r>
          <w:r>
            <w:rPr>
              <w:rFonts w:cs="Calibri" w:cstheme="minorHAnsi"/>
              <w:bCs/>
              <w:i/>
              <w:iCs/>
              <w:sz w:val="16"/>
              <w:szCs w:val="16"/>
            </w:rPr>
            <w:t>”</w:t>
          </w:r>
        </w:p>
      </w:tc>
    </w:tr>
    <w:tr>
      <w:trPr>
        <w:trHeight w:val="362" w:hRule="atLeast"/>
        <w:cantSplit w:val="true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Załącznik nr 4 do SIWZ - Szczegółowy Opis Przedmiotu Zamówienia</w:t>
          </w:r>
        </w:p>
        <w:p>
          <w:pPr>
            <w:pStyle w:val="Normal"/>
            <w:spacing w:lineRule="auto" w:line="240" w:before="0" w:after="0"/>
            <w:jc w:val="center"/>
            <w:rPr>
              <w:b/>
              <w:b/>
              <w:color w:val="000000"/>
              <w:sz w:val="18"/>
              <w:szCs w:val="18"/>
              <w:lang w:eastAsia="pl-PL"/>
            </w:rPr>
          </w:pPr>
          <w:r>
            <w:rPr>
              <w:color w:val="000000"/>
              <w:sz w:val="16"/>
            </w:rPr>
            <w:t>nr sprawy BGW-III.272.1.2020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pStyle w:val="Nagwek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Times New Roman"/>
      </w:rPr>
    </w:lvl>
    <w:lvl w:ilvl="2">
      <w:start w:val="1"/>
      <w:pStyle w:val="Nagwek3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kern w:val="0"/>
        <w:effect w:val="none"/>
        <w:iCs w:val="false"/>
        <w:bCs w:val="false"/>
        <w:em w:val="none"/>
        <w:vanish w:val="false"/>
        <w:rFonts w:cs="Times New Roman"/>
        <w:color w:val="000000"/>
      </w:rPr>
    </w:lvl>
    <w:lvl w:ilvl="3">
      <w:start w:val="1"/>
      <w:pStyle w:val="Nagwek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kern w:val="0"/>
        <w:effect w:val="none"/>
        <w:iCs w:val="false"/>
        <w:bCs w:val="false"/>
        <w:em w:val="none"/>
        <w:vanish w:val="false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false"/>
        <w:rFonts w:cs="Symbol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false"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false"/>
        <w:rFonts w:cs="Symbol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0be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473546"/>
    <w:pPr>
      <w:keepNext w:val="true"/>
      <w:keepLines/>
      <w:numPr>
        <w:ilvl w:val="0"/>
        <w:numId w:val="1"/>
      </w:numPr>
      <w:spacing w:lineRule="auto" w:line="276" w:before="240" w:after="120"/>
      <w:outlineLvl w:val="0"/>
    </w:pPr>
    <w:rPr>
      <w:rFonts w:ascii="Exo 2.0 Medium" w:hAnsi="Exo 2.0 Medium" w:eastAsia="Times New Roman" w:cs="Cambria"/>
      <w:b/>
      <w:bCs/>
      <w:color w:val="C00000"/>
      <w:sz w:val="32"/>
      <w:szCs w:val="36"/>
    </w:rPr>
  </w:style>
  <w:style w:type="paragraph" w:styleId="Nagwek2">
    <w:name w:val="Heading 2"/>
    <w:basedOn w:val="Normal"/>
    <w:next w:val="Normal"/>
    <w:link w:val="Nagwek2Znak"/>
    <w:uiPriority w:val="99"/>
    <w:qFormat/>
    <w:rsid w:val="00e1538c"/>
    <w:pPr>
      <w:keepNext w:val="true"/>
      <w:numPr>
        <w:ilvl w:val="1"/>
        <w:numId w:val="1"/>
      </w:numPr>
      <w:spacing w:lineRule="auto" w:line="360" w:before="240" w:after="60"/>
      <w:jc w:val="both"/>
      <w:outlineLvl w:val="1"/>
    </w:pPr>
    <w:rPr>
      <w:rFonts w:ascii="Exo 2.0 Light" w:hAnsi="Exo 2.0 Light" w:eastAsia="Times New Roman" w:cs="Arial"/>
      <w:b/>
      <w:bCs/>
      <w:iCs/>
      <w:color w:val="C00000"/>
      <w:sz w:val="28"/>
      <w:szCs w:val="28"/>
      <w:lang w:eastAsia="pl-PL"/>
    </w:rPr>
  </w:style>
  <w:style w:type="paragraph" w:styleId="Nagwek3">
    <w:name w:val="Heading 3"/>
    <w:basedOn w:val="Normal"/>
    <w:next w:val="Normal"/>
    <w:link w:val="Nagwek3Znak"/>
    <w:autoRedefine/>
    <w:qFormat/>
    <w:rsid w:val="00ad17e7"/>
    <w:pPr>
      <w:keepNext w:val="true"/>
      <w:numPr>
        <w:ilvl w:val="2"/>
        <w:numId w:val="1"/>
      </w:numPr>
      <w:spacing w:lineRule="auto" w:line="360" w:before="240" w:after="60"/>
      <w:jc w:val="both"/>
      <w:outlineLvl w:val="2"/>
    </w:pPr>
    <w:rPr>
      <w:rFonts w:ascii="Exo 2.0 Light" w:hAnsi="Exo 2.0 Light" w:eastAsia="Times New Roman" w:cs="Arial"/>
      <w:b/>
      <w:bCs/>
      <w:color w:val="C00000"/>
      <w:sz w:val="24"/>
      <w:szCs w:val="26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6a15b4"/>
    <w:pPr>
      <w:keepNext w:val="true"/>
      <w:numPr>
        <w:ilvl w:val="3"/>
        <w:numId w:val="1"/>
      </w:numPr>
      <w:spacing w:lineRule="auto" w:line="360" w:before="240" w:after="60"/>
      <w:jc w:val="both"/>
      <w:outlineLvl w:val="3"/>
    </w:pPr>
    <w:rPr>
      <w:rFonts w:ascii="Combria" w:hAnsi="Combria" w:eastAsia="Times New Roman"/>
      <w:b/>
      <w:bCs/>
      <w:color w:val="5B9BD5"/>
      <w:sz w:val="28"/>
      <w:szCs w:val="28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d35bc0"/>
    <w:pPr>
      <w:keepNext w:val="true"/>
      <w:keepLines/>
      <w:spacing w:before="40" w:after="0"/>
      <w:outlineLvl w:val="4"/>
    </w:pPr>
    <w:rPr>
      <w:rFonts w:ascii="Calibri Light" w:hAnsi="Calibri Light" w:eastAsia="Times New Roman"/>
      <w:color w:val="2E74B5"/>
    </w:rPr>
  </w:style>
  <w:style w:type="paragraph" w:styleId="Nagwek6">
    <w:name w:val="Heading 6"/>
    <w:basedOn w:val="Normal"/>
    <w:next w:val="Normal"/>
    <w:link w:val="Nagwek6Znak"/>
    <w:qFormat/>
    <w:rsid w:val="00a8180e"/>
    <w:pPr>
      <w:keepNext w:val="true"/>
      <w:keepLines/>
      <w:tabs>
        <w:tab w:val="clear" w:pos="708"/>
        <w:tab w:val="left" w:pos="1152" w:leader="none"/>
      </w:tabs>
      <w:suppressAutoHyphens w:val="true"/>
      <w:spacing w:lineRule="auto" w:line="276" w:before="200" w:after="0"/>
      <w:ind w:left="432" w:hanging="432"/>
      <w:jc w:val="both"/>
      <w:outlineLvl w:val="5"/>
    </w:pPr>
    <w:rPr>
      <w:b/>
      <w:lang w:eastAsia="ar-SA"/>
    </w:rPr>
  </w:style>
  <w:style w:type="paragraph" w:styleId="Nagwek7">
    <w:name w:val="Heading 7"/>
    <w:basedOn w:val="Normal"/>
    <w:next w:val="Normal"/>
    <w:link w:val="Nagwek7Znak"/>
    <w:qFormat/>
    <w:rsid w:val="00a8180e"/>
    <w:pPr>
      <w:keepNext w:val="true"/>
      <w:keepLines/>
      <w:tabs>
        <w:tab w:val="clear" w:pos="708"/>
        <w:tab w:val="left" w:pos="1296" w:leader="none"/>
      </w:tabs>
      <w:suppressAutoHyphens w:val="true"/>
      <w:spacing w:lineRule="auto" w:line="276" w:before="200" w:after="0"/>
      <w:ind w:left="432" w:hanging="432"/>
      <w:jc w:val="both"/>
      <w:outlineLvl w:val="6"/>
    </w:pPr>
    <w:rPr>
      <w:sz w:val="24"/>
      <w:lang w:eastAsia="ar-SA"/>
    </w:rPr>
  </w:style>
  <w:style w:type="paragraph" w:styleId="Nagwek8">
    <w:name w:val="Heading 8"/>
    <w:basedOn w:val="Normal"/>
    <w:next w:val="Normal"/>
    <w:link w:val="Nagwek8Znak"/>
    <w:qFormat/>
    <w:rsid w:val="00a8180e"/>
    <w:pPr>
      <w:keepNext w:val="true"/>
      <w:keepLines/>
      <w:tabs>
        <w:tab w:val="clear" w:pos="708"/>
        <w:tab w:val="left" w:pos="1440" w:leader="none"/>
      </w:tabs>
      <w:suppressAutoHyphens w:val="true"/>
      <w:spacing w:lineRule="auto" w:line="276" w:before="200" w:after="0"/>
      <w:ind w:left="432" w:hanging="432"/>
      <w:jc w:val="both"/>
      <w:outlineLvl w:val="7"/>
    </w:pPr>
    <w:rPr>
      <w:i/>
      <w:sz w:val="24"/>
      <w:lang w:eastAsia="ar-SA"/>
    </w:rPr>
  </w:style>
  <w:style w:type="paragraph" w:styleId="Nagwek9">
    <w:name w:val="Heading 9"/>
    <w:basedOn w:val="Normal"/>
    <w:next w:val="Normal"/>
    <w:link w:val="Nagwek9Znak"/>
    <w:qFormat/>
    <w:rsid w:val="00c524bf"/>
    <w:pPr>
      <w:keepNext w:val="true"/>
      <w:spacing w:lineRule="auto" w:line="240" w:before="240" w:after="60"/>
      <w:outlineLvl w:val="8"/>
    </w:pPr>
    <w:rPr>
      <w:rFonts w:ascii="Cambria" w:hAnsi="Cambria" w:eastAsia="Times New Roman"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locked/>
    <w:rsid w:val="00473546"/>
    <w:rPr>
      <w:rFonts w:ascii="Exo 2.0 Medium" w:hAnsi="Exo 2.0 Medium" w:eastAsia="Times New Roman" w:cs="Cambria"/>
      <w:b/>
      <w:bCs/>
      <w:color w:val="C00000"/>
      <w:sz w:val="32"/>
      <w:szCs w:val="36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e1538c"/>
    <w:rPr>
      <w:rFonts w:ascii="Exo 2.0 Light" w:hAnsi="Exo 2.0 Light" w:eastAsia="Times New Roman" w:cs="Arial"/>
      <w:b/>
      <w:bCs/>
      <w:iCs/>
      <w:color w:val="C00000"/>
      <w:sz w:val="28"/>
      <w:szCs w:val="28"/>
    </w:rPr>
  </w:style>
  <w:style w:type="character" w:styleId="Nagwek3Znak" w:customStyle="1">
    <w:name w:val="Nagłówek 3 Znak"/>
    <w:basedOn w:val="DefaultParagraphFont"/>
    <w:link w:val="Nagwek3"/>
    <w:qFormat/>
    <w:locked/>
    <w:rsid w:val="00ad17e7"/>
    <w:rPr>
      <w:rFonts w:ascii="Exo 2.0 Light" w:hAnsi="Exo 2.0 Light" w:eastAsia="Times New Roman" w:cs="Arial"/>
      <w:b/>
      <w:bCs/>
      <w:color w:val="C00000"/>
      <w:sz w:val="24"/>
      <w:szCs w:val="26"/>
    </w:rPr>
  </w:style>
  <w:style w:type="character" w:styleId="Nagwek4Znak" w:customStyle="1">
    <w:name w:val="Nagłówek 4 Znak"/>
    <w:basedOn w:val="DefaultParagraphFont"/>
    <w:link w:val="Nagwek4"/>
    <w:qFormat/>
    <w:locked/>
    <w:rsid w:val="006a15b4"/>
    <w:rPr>
      <w:rFonts w:ascii="Combria" w:hAnsi="Combria" w:eastAsia="Times New Roman"/>
      <w:b/>
      <w:bCs/>
      <w:color w:val="5B9BD5"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9"/>
    <w:qFormat/>
    <w:locked/>
    <w:rsid w:val="00d35bc0"/>
    <w:rPr>
      <w:rFonts w:ascii="Calibri Light" w:hAnsi="Calibri Light" w:cs="Times New Roman"/>
      <w:color w:val="2E74B5"/>
    </w:rPr>
  </w:style>
  <w:style w:type="character" w:styleId="Nagwek9Znak" w:customStyle="1">
    <w:name w:val="Nagłówek 9 Znak"/>
    <w:basedOn w:val="DefaultParagraphFont"/>
    <w:link w:val="Nagwek9"/>
    <w:uiPriority w:val="99"/>
    <w:qFormat/>
    <w:locked/>
    <w:rsid w:val="00c524bf"/>
    <w:rPr>
      <w:rFonts w:ascii="Cambria" w:hAnsi="Cambria" w:cs="Times New Roman"/>
      <w:color w:val="000000"/>
    </w:rPr>
  </w:style>
  <w:style w:type="character" w:styleId="AkapitzlistZnak" w:customStyle="1">
    <w:name w:val="Akapit z listą Znak"/>
    <w:basedOn w:val="DefaultParagraphFont"/>
    <w:link w:val="Akapitzlist"/>
    <w:qFormat/>
    <w:locked/>
    <w:rsid w:val="0054443e"/>
    <w:rPr>
      <w:rFonts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485107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485107"/>
    <w:rPr>
      <w:rFonts w:cs="Times New Roman"/>
    </w:rPr>
  </w:style>
  <w:style w:type="character" w:styleId="9StyldonagwkaZnak" w:customStyle="1">
    <w:name w:val="9 Styl do nagłówka Znak"/>
    <w:link w:val="9Styldonagwka"/>
    <w:uiPriority w:val="99"/>
    <w:qFormat/>
    <w:locked/>
    <w:rsid w:val="00657cb9"/>
    <w:rPr>
      <w:b/>
      <w:sz w:val="16"/>
      <w:szCs w:val="16"/>
    </w:rPr>
  </w:style>
  <w:style w:type="character" w:styleId="Czeinternetowe">
    <w:name w:val="Łącze internetowe"/>
    <w:basedOn w:val="DefaultParagraphFont"/>
    <w:uiPriority w:val="99"/>
    <w:rsid w:val="00485107"/>
    <w:rPr>
      <w:rFonts w:cs="Times New Roman"/>
      <w:color w:val="0000FF"/>
      <w:u w:val="single"/>
    </w:rPr>
  </w:style>
  <w:style w:type="character" w:styleId="111KonspektnumerowanyZnak" w:customStyle="1">
    <w:name w:val="1.1.1 Konspektnumerowany Znak"/>
    <w:link w:val="111Konspektnumerowany"/>
    <w:uiPriority w:val="99"/>
    <w:qFormat/>
    <w:locked/>
    <w:rsid w:val="00d35bc0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99"/>
    <w:qFormat/>
    <w:rsid w:val="00da78b5"/>
    <w:rPr>
      <w:rFonts w:cs="Times New Roman"/>
      <w:b/>
      <w:bCs/>
      <w:smallCaps/>
      <w:color w:val="5B9BD5"/>
      <w:spacing w:val="5"/>
    </w:rPr>
  </w:style>
  <w:style w:type="character" w:styleId="IntenseEmphasis">
    <w:name w:val="Intense Emphasis"/>
    <w:basedOn w:val="DefaultParagraphFont"/>
    <w:uiPriority w:val="99"/>
    <w:qFormat/>
    <w:rsid w:val="00fb0546"/>
    <w:rPr>
      <w:rFonts w:cs="Times New Roman"/>
      <w:i/>
      <w:iCs/>
      <w:color w:val="5B9BD5"/>
    </w:rPr>
  </w:style>
  <w:style w:type="character" w:styleId="Redniasiatka1akcent2Znak" w:customStyle="1">
    <w:name w:val="Średnia siatka 1 — akcent 2 Znak"/>
    <w:link w:val="redniasiatka1akcent21"/>
    <w:uiPriority w:val="99"/>
    <w:qFormat/>
    <w:locked/>
    <w:rsid w:val="001f6a1f"/>
    <w:rPr>
      <w:rFonts w:ascii="Calibri" w:hAnsi="Calibri"/>
    </w:rPr>
  </w:style>
  <w:style w:type="character" w:styleId="SSBookmark" w:customStyle="1">
    <w:name w:val="SSBookmark"/>
    <w:uiPriority w:val="99"/>
    <w:qFormat/>
    <w:rsid w:val="001f6a1f"/>
    <w:rPr>
      <w:rFonts w:ascii="Lucida Sans" w:hAnsi="Lucida Sans"/>
      <w:b/>
      <w:color w:val="000000"/>
      <w:sz w:val="16"/>
      <w:shd w:fill="FFFF80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1f6a1f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1f6a1f"/>
    <w:rPr>
      <w:rFonts w:ascii="Times New Roman" w:hAnsi="Times New Roman" w:cs="Times New Roman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1f6a1f"/>
    <w:rPr>
      <w:rFonts w:ascii="Segoe UI" w:hAnsi="Segoe UI" w:cs="Segoe UI"/>
      <w:sz w:val="18"/>
      <w:szCs w:val="18"/>
    </w:rPr>
  </w:style>
  <w:style w:type="character" w:styleId="1RozdziaZnak" w:customStyle="1">
    <w:name w:val="1. Rozdział Znak"/>
    <w:basedOn w:val="Nagwek1Znak"/>
    <w:link w:val="1Rozdzia"/>
    <w:uiPriority w:val="99"/>
    <w:qFormat/>
    <w:locked/>
    <w:rsid w:val="00227861"/>
    <w:rPr>
      <w:rFonts w:ascii="Cambria" w:hAnsi="Cambria" w:eastAsia="Times New Roman" w:cs="Cambria"/>
      <w:b/>
      <w:bCs/>
      <w:color w:val="365F91"/>
      <w:sz w:val="28"/>
      <w:szCs w:val="28"/>
      <w:lang w:eastAsia="en-US"/>
    </w:rPr>
  </w:style>
  <w:style w:type="character" w:styleId="11PodrozdziaZnak" w:customStyle="1">
    <w:name w:val="1.1 Podrozdział Znak"/>
    <w:basedOn w:val="Nagwek2Znak"/>
    <w:link w:val="11Podrozdzia"/>
    <w:uiPriority w:val="99"/>
    <w:qFormat/>
    <w:locked/>
    <w:rsid w:val="00227861"/>
    <w:rPr>
      <w:rFonts w:ascii="Exo 2.0 Light" w:hAnsi="Exo 2.0 Light" w:eastAsia="Times New Roman" w:cs="Cambria"/>
      <w:b/>
      <w:bCs/>
      <w:i/>
      <w:iCs/>
      <w:color w:val="4F81BD"/>
      <w:sz w:val="28"/>
      <w:szCs w:val="26"/>
      <w:lang w:eastAsia="en-US"/>
    </w:rPr>
  </w:style>
  <w:style w:type="character" w:styleId="ZacznikNazwaZnak" w:customStyle="1">
    <w:name w:val="Załącznik Nazwa Znak"/>
    <w:link w:val="ZacznikNazwa"/>
    <w:uiPriority w:val="99"/>
    <w:qFormat/>
    <w:locked/>
    <w:rsid w:val="00c524bf"/>
    <w:rPr>
      <w:rFonts w:ascii="Calibri" w:hAnsi="Calibri"/>
      <w:b/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0612f9"/>
    <w:rPr>
      <w:rFonts w:ascii="Times New Roman" w:hAnsi="Times New Roman" w:cs="Times New Roman"/>
      <w:b/>
      <w:bCs/>
      <w:sz w:val="20"/>
      <w:szCs w:val="20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locked/>
    <w:rsid w:val="00136d1c"/>
    <w:rPr>
      <w:rFonts w:ascii="Calibri" w:hAnsi="Calibri" w:cs="Times New Roman"/>
      <w:sz w:val="21"/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3b5439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3b5439"/>
    <w:rPr>
      <w:rFonts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3570c4"/>
    <w:rPr>
      <w:rFonts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3570c4"/>
    <w:rPr>
      <w:rFonts w:cs="Times New Roman"/>
      <w:vertAlign w:val="superscript"/>
    </w:rPr>
  </w:style>
  <w:style w:type="character" w:styleId="Odwiedzoneczeinternetowe">
    <w:name w:val="Odwiedzone łącze internetowe"/>
    <w:basedOn w:val="DefaultParagraphFont"/>
    <w:uiPriority w:val="99"/>
    <w:semiHidden/>
    <w:rsid w:val="00fd55da"/>
    <w:rPr>
      <w:rFonts w:cs="Times New Roman"/>
      <w:color w:val="954F72"/>
      <w:u w:val="single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821625"/>
    <w:rPr>
      <w:rFonts w:ascii="Exo 2.0 Light" w:hAnsi="Exo 2.0 Light" w:cs="Times New Roman"/>
      <w:b/>
      <w:spacing w:val="5"/>
      <w:kern w:val="2"/>
      <w:sz w:val="22"/>
      <w:lang w:val="pl-PL" w:eastAsia="pl-PL"/>
    </w:rPr>
  </w:style>
  <w:style w:type="character" w:styleId="ZnakZnak10" w:customStyle="1">
    <w:name w:val="Znak Znak10"/>
    <w:uiPriority w:val="99"/>
    <w:qFormat/>
    <w:rsid w:val="00821625"/>
    <w:rPr>
      <w:rFonts w:ascii="Calibri" w:hAnsi="Calibri"/>
      <w:sz w:val="20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fa7082"/>
    <w:rPr>
      <w:rFonts w:ascii="Tahoma" w:hAnsi="Tahoma" w:cs="Tahoma"/>
      <w:sz w:val="16"/>
      <w:szCs w:val="16"/>
      <w:lang w:eastAsia="en-US"/>
    </w:rPr>
  </w:style>
  <w:style w:type="character" w:styleId="Fontstyle01" w:customStyle="1">
    <w:name w:val="fontstyle01"/>
    <w:basedOn w:val="DefaultParagraphFont"/>
    <w:qFormat/>
    <w:rsid w:val="00733fba"/>
    <w:rPr>
      <w:rFonts w:ascii="CIDFont+F5" w:hAnsi="CIDFont+F5"/>
      <w:b w:val="false"/>
      <w:bCs w:val="false"/>
      <w:i w:val="false"/>
      <w:iCs w:val="false"/>
      <w:color w:val="000000"/>
      <w:sz w:val="20"/>
      <w:szCs w:val="20"/>
    </w:rPr>
  </w:style>
  <w:style w:type="character" w:styleId="Nagwek6Znak" w:customStyle="1">
    <w:name w:val="Nagłówek 6 Znak"/>
    <w:basedOn w:val="DefaultParagraphFont"/>
    <w:link w:val="Nagwek6"/>
    <w:qFormat/>
    <w:rsid w:val="00a8180e"/>
    <w:rPr>
      <w:b/>
      <w:sz w:val="20"/>
      <w:szCs w:val="20"/>
      <w:lang w:eastAsia="ar-SA"/>
    </w:rPr>
  </w:style>
  <w:style w:type="character" w:styleId="Nagwek7Znak" w:customStyle="1">
    <w:name w:val="Nagłówek 7 Znak"/>
    <w:basedOn w:val="DefaultParagraphFont"/>
    <w:link w:val="Nagwek7"/>
    <w:qFormat/>
    <w:rsid w:val="00a8180e"/>
    <w:rPr>
      <w:sz w:val="24"/>
      <w:szCs w:val="20"/>
      <w:lang w:eastAsia="ar-SA"/>
    </w:rPr>
  </w:style>
  <w:style w:type="character" w:styleId="Nagwek8Znak" w:customStyle="1">
    <w:name w:val="Nagłówek 8 Znak"/>
    <w:basedOn w:val="DefaultParagraphFont"/>
    <w:link w:val="Nagwek8"/>
    <w:qFormat/>
    <w:rsid w:val="00a8180e"/>
    <w:rPr>
      <w:i/>
      <w:sz w:val="24"/>
      <w:szCs w:val="20"/>
      <w:lang w:eastAsia="ar-SA"/>
    </w:rPr>
  </w:style>
  <w:style w:type="character" w:styleId="24GIS3Znak" w:customStyle="1">
    <w:name w:val="24GIS 3 Znak"/>
    <w:link w:val="24GIS3"/>
    <w:qFormat/>
    <w:rsid w:val="00431eea"/>
    <w:rPr>
      <w:rFonts w:ascii="Exo 2.0 Light" w:hAnsi="Exo 2.0 Light" w:eastAsia="Times New Roman"/>
      <w:color w:val="C00000"/>
      <w:szCs w:val="24"/>
      <w:lang w:eastAsia="en-US"/>
    </w:rPr>
  </w:style>
  <w:style w:type="character" w:styleId="WW8Num14z0" w:customStyle="1">
    <w:name w:val="WW8Num14z0"/>
    <w:qFormat/>
    <w:rsid w:val="00205945"/>
    <w:rPr>
      <w:rFonts w:ascii="Times New Roman" w:hAnsi="Times New Roman" w:eastAsia="Times New Roman" w:cs="Times New Roman"/>
    </w:rPr>
  </w:style>
  <w:style w:type="character" w:styleId="Priceexclvat" w:customStyle="1">
    <w:name w:val="price_excl_vat"/>
    <w:basedOn w:val="DefaultParagraphFont"/>
    <w:qFormat/>
    <w:rsid w:val="00a5211a"/>
    <w:rPr/>
  </w:style>
  <w:style w:type="character" w:styleId="Strong">
    <w:name w:val="Strong"/>
    <w:basedOn w:val="DefaultParagraphFont"/>
    <w:uiPriority w:val="22"/>
    <w:qFormat/>
    <w:rsid w:val="00d33323"/>
    <w:rPr>
      <w:b/>
      <w:bCs/>
    </w:rPr>
  </w:style>
  <w:style w:type="character" w:styleId="St" w:customStyle="1">
    <w:name w:val="st"/>
    <w:basedOn w:val="DefaultParagraphFont"/>
    <w:qFormat/>
    <w:rsid w:val="000f05f0"/>
    <w:rPr/>
  </w:style>
  <w:style w:type="character" w:styleId="Wyrnienie">
    <w:name w:val="Wyróżnienie"/>
    <w:basedOn w:val="DefaultParagraphFont"/>
    <w:uiPriority w:val="20"/>
    <w:qFormat/>
    <w:rsid w:val="000f05f0"/>
    <w:rPr>
      <w:i/>
      <w:iCs/>
    </w:rPr>
  </w:style>
  <w:style w:type="character" w:styleId="Czeindeksu">
    <w:name w:val="Łącze indeksu"/>
    <w:qFormat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qFormat/>
    <w:rsid w:val="00ad396c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851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4851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9Styldonagwka" w:customStyle="1">
    <w:name w:val="9 Styl do nagłówka"/>
    <w:basedOn w:val="Normal"/>
    <w:link w:val="9StyldonagwkaZnak"/>
    <w:autoRedefine/>
    <w:uiPriority w:val="99"/>
    <w:qFormat/>
    <w:rsid w:val="00657cb9"/>
    <w:pPr>
      <w:spacing w:lineRule="auto" w:line="240" w:before="0" w:after="0"/>
      <w:jc w:val="center"/>
    </w:pPr>
    <w:rPr>
      <w:b/>
      <w:sz w:val="16"/>
      <w:szCs w:val="16"/>
      <w:lang w:eastAsia="pl-PL"/>
    </w:rPr>
  </w:style>
  <w:style w:type="paragraph" w:styleId="TOCHeading">
    <w:name w:val="TOC Heading"/>
    <w:basedOn w:val="Nagwek1"/>
    <w:next w:val="Normal"/>
    <w:uiPriority w:val="99"/>
    <w:qFormat/>
    <w:rsid w:val="00f23800"/>
    <w:pPr>
      <w:numPr>
        <w:ilvl w:val="0"/>
        <w:numId w:val="0"/>
      </w:numPr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lang w:bidi="he-IL"/>
    </w:rPr>
  </w:style>
  <w:style w:type="paragraph" w:styleId="Spistreci1">
    <w:name w:val="TOC 1"/>
    <w:basedOn w:val="Normal"/>
    <w:next w:val="Normal"/>
    <w:autoRedefine/>
    <w:uiPriority w:val="39"/>
    <w:rsid w:val="00545d59"/>
    <w:pPr>
      <w:tabs>
        <w:tab w:val="clear" w:pos="708"/>
        <w:tab w:val="left" w:pos="440" w:leader="none"/>
        <w:tab w:val="right" w:pos="9062" w:leader="dot"/>
      </w:tabs>
      <w:spacing w:lineRule="auto" w:line="240" w:before="0" w:after="100"/>
    </w:pPr>
    <w:rPr>
      <w:rFonts w:eastAsia="Times New Roman"/>
      <w:b/>
      <w:smallCaps/>
    </w:rPr>
  </w:style>
  <w:style w:type="paragraph" w:styleId="Spistreci2">
    <w:name w:val="TOC 2"/>
    <w:basedOn w:val="Normal"/>
    <w:next w:val="Normal"/>
    <w:autoRedefine/>
    <w:uiPriority w:val="39"/>
    <w:rsid w:val="00d4336e"/>
    <w:pPr>
      <w:tabs>
        <w:tab w:val="clear" w:pos="708"/>
        <w:tab w:val="left" w:pos="880" w:leader="none"/>
        <w:tab w:val="right" w:pos="9062" w:leader="dot"/>
      </w:tabs>
      <w:spacing w:before="0" w:after="100"/>
      <w:ind w:left="220" w:hanging="0"/>
    </w:pPr>
    <w:rPr/>
  </w:style>
  <w:style w:type="paragraph" w:styleId="Spistreci3">
    <w:name w:val="TOC 3"/>
    <w:basedOn w:val="Normal"/>
    <w:next w:val="Normal"/>
    <w:autoRedefine/>
    <w:uiPriority w:val="39"/>
    <w:rsid w:val="00561ab8"/>
    <w:pPr>
      <w:spacing w:before="0" w:after="100"/>
      <w:ind w:left="440" w:hanging="0"/>
    </w:pPr>
    <w:rPr/>
  </w:style>
  <w:style w:type="paragraph" w:styleId="111Konspektnumerowany" w:customStyle="1">
    <w:name w:val="1.1.1 Konspektnumerowany"/>
    <w:basedOn w:val="Normal"/>
    <w:link w:val="111KonspektnumerowanyZnak"/>
    <w:autoRedefine/>
    <w:uiPriority w:val="99"/>
    <w:qFormat/>
    <w:rsid w:val="00d35bc0"/>
    <w:pPr>
      <w:spacing w:lineRule="auto" w:line="240" w:before="160" w:after="0"/>
      <w:ind w:left="1788" w:hanging="360"/>
    </w:pPr>
    <w:rPr>
      <w:rFonts w:ascii="Times New Roman" w:hAnsi="Times New Roman"/>
      <w:lang w:eastAsia="pl-PL"/>
    </w:rPr>
  </w:style>
  <w:style w:type="paragraph" w:styleId="Redniasiatka1akcent21" w:customStyle="1">
    <w:name w:val="Średnia siatka 1 — akcent 21"/>
    <w:basedOn w:val="Normal"/>
    <w:link w:val="redniasiatka1akcent2Znak"/>
    <w:uiPriority w:val="99"/>
    <w:qFormat/>
    <w:rsid w:val="001f6a1f"/>
    <w:pPr>
      <w:spacing w:lineRule="auto" w:line="276" w:before="0" w:after="200"/>
      <w:ind w:left="720" w:hanging="0"/>
    </w:pPr>
    <w:rPr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1f6a1f"/>
    <w:pPr>
      <w:spacing w:lineRule="auto" w:line="240" w:before="0" w:after="0"/>
    </w:pPr>
    <w:rPr>
      <w:rFonts w:ascii="Times New Roman" w:hAnsi="Times New Roman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6a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Rozdzia" w:customStyle="1">
    <w:name w:val="1. Rozdział"/>
    <w:basedOn w:val="Nagwek1"/>
    <w:link w:val="1RozdziaZnak"/>
    <w:uiPriority w:val="99"/>
    <w:qFormat/>
    <w:rsid w:val="00227861"/>
    <w:pPr>
      <w:numPr>
        <w:ilvl w:val="0"/>
        <w:numId w:val="0"/>
      </w:numPr>
    </w:pPr>
    <w:rPr>
      <w:rFonts w:ascii="Cambria" w:hAnsi="Cambria"/>
      <w:color w:val="365F91"/>
      <w:sz w:val="28"/>
      <w:szCs w:val="28"/>
    </w:rPr>
  </w:style>
  <w:style w:type="paragraph" w:styleId="11Podrozdzia" w:customStyle="1">
    <w:name w:val="1.1 Podrozdział"/>
    <w:basedOn w:val="Nagwek2"/>
    <w:link w:val="11PodrozdziaZnak"/>
    <w:uiPriority w:val="99"/>
    <w:qFormat/>
    <w:rsid w:val="00227861"/>
    <w:pPr>
      <w:keepLines/>
      <w:numPr>
        <w:ilvl w:val="0"/>
        <w:numId w:val="0"/>
      </w:numPr>
      <w:spacing w:lineRule="auto" w:line="276" w:before="400" w:after="400"/>
      <w:jc w:val="left"/>
    </w:pPr>
    <w:rPr>
      <w:rFonts w:cs="Cambria"/>
      <w:i/>
      <w:iCs w:val="false"/>
      <w:color w:val="4F81BD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a23d75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qFormat/>
    <w:rsid w:val="00a23d75"/>
    <w:pPr>
      <w:spacing w:before="0" w:after="0"/>
    </w:pPr>
    <w:rPr/>
  </w:style>
  <w:style w:type="paragraph" w:styleId="ZacznikNazwa" w:customStyle="1">
    <w:name w:val="Załącznik Nazwa"/>
    <w:basedOn w:val="Normal"/>
    <w:link w:val="ZacznikNazwaZnak"/>
    <w:autoRedefine/>
    <w:uiPriority w:val="99"/>
    <w:qFormat/>
    <w:rsid w:val="00c524bf"/>
    <w:pPr>
      <w:spacing w:lineRule="atLeast" w:line="240" w:before="0" w:after="0"/>
      <w:jc w:val="center"/>
    </w:pPr>
    <w:rPr>
      <w:b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0612f9"/>
    <w:pPr>
      <w:spacing w:before="0" w:after="160"/>
    </w:pPr>
    <w:rPr>
      <w:rFonts w:ascii="Calibri" w:hAnsi="Calibri"/>
      <w:b/>
      <w:bCs/>
    </w:rPr>
  </w:style>
  <w:style w:type="paragraph" w:styleId="PlainText">
    <w:name w:val="Plain Text"/>
    <w:basedOn w:val="Normal"/>
    <w:link w:val="ZwykytekstZnak"/>
    <w:uiPriority w:val="99"/>
    <w:qFormat/>
    <w:rsid w:val="00136d1c"/>
    <w:pPr>
      <w:spacing w:lineRule="auto" w:line="240" w:before="0" w:after="0"/>
    </w:pPr>
    <w:rPr>
      <w:szCs w:val="21"/>
    </w:rPr>
  </w:style>
  <w:style w:type="paragraph" w:styleId="Przypisdolny">
    <w:name w:val="Footnote Text"/>
    <w:basedOn w:val="Normal"/>
    <w:link w:val="TekstprzypisudolnegoZnak"/>
    <w:uiPriority w:val="99"/>
    <w:semiHidden/>
    <w:rsid w:val="003b5439"/>
    <w:pPr>
      <w:spacing w:lineRule="auto" w:line="240" w:before="0" w:after="0"/>
    </w:pPr>
    <w:rPr/>
  </w:style>
  <w:style w:type="paragraph" w:styleId="NoSpacing">
    <w:name w:val="No Spacing"/>
    <w:uiPriority w:val="99"/>
    <w:qFormat/>
    <w:rsid w:val="00c6234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rsid w:val="003570c4"/>
    <w:pPr>
      <w:spacing w:lineRule="auto" w:line="240" w:before="0" w:after="0"/>
    </w:pPr>
    <w:rPr/>
  </w:style>
  <w:style w:type="paragraph" w:styleId="Bezodstpw1" w:customStyle="1">
    <w:name w:val="Bez odstępów1"/>
    <w:uiPriority w:val="99"/>
    <w:qFormat/>
    <w:rsid w:val="0066086b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pl-PL" w:eastAsia="pl-PL" w:bidi="ar-SA"/>
    </w:rPr>
  </w:style>
  <w:style w:type="paragraph" w:styleId="Default" w:customStyle="1">
    <w:name w:val="Default"/>
    <w:qFormat/>
    <w:rsid w:val="0055779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Tytu">
    <w:name w:val="Title"/>
    <w:basedOn w:val="Normal"/>
    <w:next w:val="Normal"/>
    <w:link w:val="TytuZnak"/>
    <w:uiPriority w:val="99"/>
    <w:qFormat/>
    <w:locked/>
    <w:rsid w:val="00821625"/>
    <w:pPr>
      <w:spacing w:lineRule="auto" w:line="240" w:before="0" w:after="0"/>
      <w:contextualSpacing/>
      <w:jc w:val="right"/>
    </w:pPr>
    <w:rPr>
      <w:rFonts w:ascii="Exo 2.0 Light" w:hAnsi="Exo 2.0 Light" w:eastAsia="Times New Roman"/>
      <w:b/>
      <w:spacing w:val="5"/>
      <w:kern w:val="2"/>
      <w:lang w:eastAsia="pl-PL"/>
    </w:rPr>
  </w:style>
  <w:style w:type="paragraph" w:styleId="Revision">
    <w:name w:val="Revision"/>
    <w:uiPriority w:val="99"/>
    <w:semiHidden/>
    <w:qFormat/>
    <w:rsid w:val="00d320c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pl-PL" w:eastAsia="en-US" w:bidi="ar-SA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locked/>
    <w:rsid w:val="00fa70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fa7082"/>
    <w:pPr>
      <w:suppressAutoHyphens w:val="true"/>
      <w:spacing w:lineRule="auto" w:line="240" w:before="0" w:after="0"/>
      <w:jc w:val="center"/>
    </w:pPr>
    <w:rPr>
      <w:rFonts w:ascii="Arial" w:hAnsi="Arial" w:eastAsia="Times New Roman"/>
      <w:b/>
      <w:sz w:val="36"/>
      <w:lang w:eastAsia="ar-SA"/>
    </w:rPr>
  </w:style>
  <w:style w:type="paragraph" w:styleId="Standard" w:customStyle="1">
    <w:name w:val="Standard"/>
    <w:qFormat/>
    <w:rsid w:val="00e64a5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24GIS1" w:customStyle="1">
    <w:name w:val="24GIS 1"/>
    <w:next w:val="Normal"/>
    <w:qFormat/>
    <w:rsid w:val="00431eea"/>
    <w:pPr>
      <w:widowControl/>
      <w:tabs>
        <w:tab w:val="clear" w:pos="708"/>
        <w:tab w:val="left" w:pos="360" w:leader="none"/>
      </w:tabs>
      <w:suppressAutoHyphens w:val="true"/>
      <w:bidi w:val="0"/>
      <w:spacing w:lineRule="auto" w:line="276" w:before="0" w:after="200"/>
      <w:ind w:left="360" w:hanging="360"/>
      <w:jc w:val="left"/>
      <w:outlineLvl w:val="0"/>
    </w:pPr>
    <w:rPr>
      <w:rFonts w:ascii="Exo 2.0 Light" w:hAnsi="Exo 2.0 Light" w:eastAsia="Times New Roman" w:cs="Times New Roman"/>
      <w:iCs/>
      <w:color w:val="C00000"/>
      <w:kern w:val="0"/>
      <w:sz w:val="40"/>
      <w:szCs w:val="22"/>
      <w:lang w:val="pl-PL" w:eastAsia="pl-PL" w:bidi="ar-SA"/>
    </w:rPr>
  </w:style>
  <w:style w:type="paragraph" w:styleId="24GIS3" w:customStyle="1">
    <w:name w:val="24GIS 3"/>
    <w:basedOn w:val="Normal"/>
    <w:next w:val="Normal"/>
    <w:link w:val="24GIS3Znak"/>
    <w:qFormat/>
    <w:rsid w:val="00431eea"/>
    <w:pPr>
      <w:spacing w:lineRule="auto" w:line="276" w:before="0" w:after="200"/>
      <w:ind w:left="1224" w:hanging="504"/>
      <w:outlineLvl w:val="2"/>
    </w:pPr>
    <w:rPr>
      <w:rFonts w:ascii="Exo 2.0 Light" w:hAnsi="Exo 2.0 Light" w:eastAsia="Times New Roman"/>
      <w:color w:val="C00000"/>
      <w:sz w:val="22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304b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A059-F0C5-4CF5-87DA-E5B1D58D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LibreOffice/6.4.3.2$Windows_X86_64 LibreOffice_project/747b5d0ebf89f41c860ec2a39efd7cb15b54f2d8</Application>
  <Pages>25</Pages>
  <Words>7724</Words>
  <Characters>50855</Characters>
  <CharactersWithSpaces>57368</CharactersWithSpaces>
  <Paragraphs>1168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2020-04-30T16:21:00Z</dcterms:created>
  <dc:creator>PC</dc:creator>
  <dc:description/>
  <dc:language>pl-PL</dc:language>
  <cp:lastModifiedBy/>
  <cp:lastPrinted>2017-04-24T12:47:00Z</cp:lastPrinted>
  <dcterms:modified xsi:type="dcterms:W3CDTF">2020-05-18T19:27:58Z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