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88" w:rsidRPr="00824888" w:rsidRDefault="00824888" w:rsidP="0082488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 xml:space="preserve">Uchwała Nr </w:t>
      </w:r>
      <w:r w:rsidR="00551199" w:rsidRPr="00551199">
        <w:rPr>
          <w:rFonts w:ascii="Tahoma" w:hAnsi="Tahoma" w:cs="Tahoma"/>
          <w:b/>
          <w:sz w:val="20"/>
          <w:szCs w:val="20"/>
        </w:rPr>
        <w:t>7955/2024</w:t>
      </w:r>
    </w:p>
    <w:p w:rsidR="00824888" w:rsidRPr="00824888" w:rsidRDefault="00824888" w:rsidP="0082488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>Zarządu Województwa Wielkopolskiego</w:t>
      </w:r>
    </w:p>
    <w:p w:rsidR="00824888" w:rsidRPr="00824888" w:rsidRDefault="00824888" w:rsidP="0082488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 xml:space="preserve">z dnia </w:t>
      </w:r>
      <w:r w:rsidR="00551199">
        <w:rPr>
          <w:rFonts w:ascii="Tahoma" w:hAnsi="Tahoma" w:cs="Tahoma"/>
          <w:b/>
          <w:sz w:val="20"/>
          <w:szCs w:val="20"/>
        </w:rPr>
        <w:t>15</w:t>
      </w:r>
      <w:r w:rsidRPr="00824888">
        <w:rPr>
          <w:rFonts w:ascii="Tahoma" w:hAnsi="Tahoma" w:cs="Tahoma"/>
          <w:b/>
          <w:sz w:val="20"/>
          <w:szCs w:val="20"/>
        </w:rPr>
        <w:t xml:space="preserve"> lutego 2024 r.</w:t>
      </w:r>
    </w:p>
    <w:p w:rsidR="00824888" w:rsidRPr="00824888" w:rsidRDefault="00824888" w:rsidP="00824888">
      <w:pPr>
        <w:spacing w:line="256" w:lineRule="auto"/>
      </w:pPr>
    </w:p>
    <w:p w:rsidR="00824888" w:rsidRPr="00824888" w:rsidRDefault="00824888" w:rsidP="00824888">
      <w:pPr>
        <w:spacing w:line="256" w:lineRule="auto"/>
        <w:rPr>
          <w:rFonts w:ascii="Tahoma" w:hAnsi="Tahoma" w:cs="Tahoma"/>
          <w:sz w:val="20"/>
          <w:szCs w:val="20"/>
        </w:rPr>
      </w:pPr>
    </w:p>
    <w:p w:rsidR="00824888" w:rsidRPr="00824888" w:rsidRDefault="00824888" w:rsidP="00824888">
      <w:pPr>
        <w:suppressAutoHyphens/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 xml:space="preserve">w sprawie ogłoszenia konkursu na realizację zadania publicznego Województwa Wielkopolskiego </w:t>
      </w:r>
      <w:r w:rsidRPr="00824888">
        <w:rPr>
          <w:rFonts w:ascii="Tahoma" w:hAnsi="Tahoma" w:cs="Tahoma"/>
          <w:sz w:val="20"/>
          <w:szCs w:val="20"/>
        </w:rPr>
        <w:br/>
        <w:t xml:space="preserve">z zakresu zdrowia publicznego pn.: „Prowadzenie działań informacyjno-edukacyjnych z zakresu profilaktyki uzależnień, mających na celu zwiększenie świadomości na temat zachowań szkodliwych dla zdrowia i kształtujących prozdrowotny styl życia” w 2024 roku. </w:t>
      </w:r>
    </w:p>
    <w:p w:rsidR="00824888" w:rsidRPr="00824888" w:rsidRDefault="00824888" w:rsidP="00824888">
      <w:pPr>
        <w:suppressAutoHyphens/>
        <w:spacing w:line="256" w:lineRule="auto"/>
        <w:jc w:val="both"/>
        <w:rPr>
          <w:rFonts w:ascii="Tahoma" w:hAnsi="Tahoma" w:cs="Tahoma"/>
          <w:sz w:val="20"/>
          <w:szCs w:val="20"/>
        </w:rPr>
      </w:pPr>
    </w:p>
    <w:p w:rsidR="00824888" w:rsidRPr="00824888" w:rsidRDefault="00824888" w:rsidP="00824888">
      <w:pPr>
        <w:suppressAutoHyphens/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Na podstawie art. 41 ust. 1 ustawy z dnia 5 czerwca 1998 r. o samorządzie województwa (</w:t>
      </w:r>
      <w:r w:rsidRPr="00824888">
        <w:rPr>
          <w:rFonts w:ascii="Tahoma" w:eastAsia="Times New Roman" w:hAnsi="Tahoma" w:cs="Tahoma"/>
          <w:sz w:val="20"/>
          <w:szCs w:val="20"/>
          <w:lang w:eastAsia="ar-SA"/>
        </w:rPr>
        <w:t>Dz.U. z 2022 r., poz. 2094 ze zm.),</w:t>
      </w:r>
      <w:r w:rsidRPr="00824888">
        <w:rPr>
          <w:rFonts w:ascii="Tahoma" w:hAnsi="Tahoma" w:cs="Tahoma"/>
          <w:sz w:val="20"/>
          <w:szCs w:val="20"/>
        </w:rPr>
        <w:t xml:space="preserve"> art. 14 ust. 1 w związku z art. 13 pkt 3 ustawy z dnia 11 września 2015 r. </w:t>
      </w:r>
      <w:r w:rsidRPr="00824888">
        <w:rPr>
          <w:rFonts w:ascii="Tahoma" w:hAnsi="Tahoma" w:cs="Tahoma"/>
          <w:sz w:val="20"/>
          <w:szCs w:val="20"/>
        </w:rPr>
        <w:br/>
        <w:t xml:space="preserve">o zdrowiu publicznym </w:t>
      </w:r>
      <w:r w:rsidRPr="00824888">
        <w:rPr>
          <w:rFonts w:ascii="Tahoma" w:eastAsia="Times New Roman" w:hAnsi="Tahoma" w:cs="Tahoma"/>
          <w:sz w:val="20"/>
          <w:szCs w:val="20"/>
          <w:lang w:eastAsia="ar-SA"/>
        </w:rPr>
        <w:t>(Dz. U. z 2022 r., poz. 1608 ze zm.),</w:t>
      </w:r>
      <w:r w:rsidRPr="00824888">
        <w:rPr>
          <w:rFonts w:ascii="Tahoma" w:eastAsia="Times New Roman" w:hAnsi="Tahoma" w:cs="Tahoma"/>
          <w:lang w:eastAsia="ar-SA"/>
        </w:rPr>
        <w:t xml:space="preserve"> </w:t>
      </w:r>
      <w:r w:rsidRPr="00824888">
        <w:rPr>
          <w:rFonts w:ascii="Tahoma" w:hAnsi="Tahoma" w:cs="Tahoma"/>
          <w:sz w:val="20"/>
          <w:szCs w:val="20"/>
        </w:rPr>
        <w:t>Zarząd Województwa Wielkopolskiego uchwala, co następuje:</w:t>
      </w:r>
    </w:p>
    <w:p w:rsidR="00824888" w:rsidRPr="00824888" w:rsidRDefault="00824888" w:rsidP="00824888">
      <w:pPr>
        <w:suppressAutoHyphens/>
        <w:spacing w:line="256" w:lineRule="auto"/>
        <w:rPr>
          <w:rFonts w:ascii="Tahoma" w:hAnsi="Tahoma" w:cs="Tahoma"/>
          <w:sz w:val="20"/>
          <w:szCs w:val="20"/>
        </w:rPr>
      </w:pPr>
    </w:p>
    <w:p w:rsidR="00824888" w:rsidRPr="00824888" w:rsidRDefault="00824888" w:rsidP="00824888">
      <w:pPr>
        <w:suppressAutoHyphens/>
        <w:spacing w:line="256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>§ 1</w:t>
      </w:r>
    </w:p>
    <w:p w:rsidR="00824888" w:rsidRPr="00824888" w:rsidRDefault="00824888" w:rsidP="00824888">
      <w:pPr>
        <w:suppressAutoHyphens/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 xml:space="preserve">Ogłasza się konkurs ofert na realizację zadania publicznego Województwa Wielkopolskiego z zakresu zdrowia publicznego w roku 2024 pn.: „Prowadzenie działań informacyjno-edukacyjnych z zakresu profilaktyki uzależnień, mających na celu zwiększenie świadomości na temat zachowań szkodliwych dla zdrowia i kształtujących prozdrowotny styl życia”, na łączną kwotę 4.601.405,00 złotych, zgodnie </w:t>
      </w:r>
      <w:r w:rsidRPr="00824888">
        <w:rPr>
          <w:rFonts w:ascii="Tahoma" w:hAnsi="Tahoma" w:cs="Tahoma"/>
          <w:sz w:val="20"/>
          <w:szCs w:val="20"/>
        </w:rPr>
        <w:br/>
        <w:t>z załącznikiem do niniejszej uchwały.</w:t>
      </w:r>
    </w:p>
    <w:p w:rsidR="00824888" w:rsidRPr="00824888" w:rsidRDefault="00824888" w:rsidP="00824888">
      <w:pPr>
        <w:suppressAutoHyphens/>
        <w:spacing w:line="256" w:lineRule="auto"/>
        <w:rPr>
          <w:rFonts w:ascii="Tahoma" w:hAnsi="Tahoma" w:cs="Tahoma"/>
          <w:sz w:val="20"/>
          <w:szCs w:val="20"/>
        </w:rPr>
      </w:pPr>
    </w:p>
    <w:p w:rsidR="00824888" w:rsidRPr="00824888" w:rsidRDefault="00824888" w:rsidP="00824888">
      <w:pPr>
        <w:suppressAutoHyphens/>
        <w:spacing w:line="256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>§ 2</w:t>
      </w:r>
    </w:p>
    <w:p w:rsidR="00824888" w:rsidRPr="00824888" w:rsidRDefault="00824888" w:rsidP="00824888">
      <w:pPr>
        <w:suppressAutoHyphens/>
        <w:spacing w:line="256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824888" w:rsidRPr="00824888" w:rsidRDefault="00824888" w:rsidP="00824888">
      <w:pPr>
        <w:suppressAutoHyphens/>
        <w:spacing w:line="240" w:lineRule="auto"/>
        <w:rPr>
          <w:rFonts w:ascii="Tahoma" w:hAnsi="Tahoma" w:cs="Tahoma"/>
          <w:sz w:val="20"/>
          <w:szCs w:val="20"/>
        </w:rPr>
      </w:pPr>
    </w:p>
    <w:p w:rsidR="00824888" w:rsidRPr="00824888" w:rsidRDefault="00824888" w:rsidP="00824888">
      <w:pPr>
        <w:suppressAutoHyphens/>
        <w:spacing w:line="256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>§ 3</w:t>
      </w:r>
    </w:p>
    <w:p w:rsidR="00824888" w:rsidRPr="00824888" w:rsidRDefault="00824888" w:rsidP="00824888">
      <w:pPr>
        <w:suppressAutoHyphens/>
        <w:spacing w:line="256" w:lineRule="auto"/>
        <w:jc w:val="both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Wykonanie uchwały powierza się Dyrektorowi Departamentu Zdrowia Urzędu Marszałkowskiego Województwa Wielkopolskiego.</w:t>
      </w:r>
    </w:p>
    <w:p w:rsidR="00824888" w:rsidRPr="00824888" w:rsidRDefault="00824888" w:rsidP="00824888">
      <w:pPr>
        <w:suppressAutoHyphens/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24888" w:rsidRPr="00824888" w:rsidRDefault="00824888" w:rsidP="00824888">
      <w:pPr>
        <w:suppressAutoHyphens/>
        <w:spacing w:line="256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>§ 4</w:t>
      </w:r>
    </w:p>
    <w:p w:rsidR="00824888" w:rsidRPr="00824888" w:rsidRDefault="00824888" w:rsidP="00824888">
      <w:pPr>
        <w:suppressAutoHyphens/>
        <w:spacing w:line="256" w:lineRule="auto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Uchwała wchodzi w życie z dniem podjęcia.</w:t>
      </w:r>
    </w:p>
    <w:p w:rsidR="00824888" w:rsidRPr="00824888" w:rsidRDefault="00824888" w:rsidP="00824888">
      <w:pPr>
        <w:suppressAutoHyphens/>
        <w:spacing w:line="252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24888">
        <w:br w:type="page"/>
      </w:r>
    </w:p>
    <w:p w:rsidR="00824888" w:rsidRPr="00824888" w:rsidRDefault="00824888" w:rsidP="00824888">
      <w:pPr>
        <w:spacing w:after="0" w:line="256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lastRenderedPageBreak/>
        <w:t xml:space="preserve">Uzasadnienie do Uchwały Nr </w:t>
      </w:r>
      <w:r w:rsidR="00367129" w:rsidRPr="00367129">
        <w:rPr>
          <w:rFonts w:ascii="Tahoma" w:hAnsi="Tahoma" w:cs="Tahoma"/>
          <w:b/>
          <w:sz w:val="20"/>
          <w:szCs w:val="20"/>
        </w:rPr>
        <w:t>7955/2024</w:t>
      </w:r>
    </w:p>
    <w:p w:rsidR="00824888" w:rsidRPr="00824888" w:rsidRDefault="00824888" w:rsidP="00824888">
      <w:pPr>
        <w:spacing w:after="0" w:line="256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>Zarządu Województwa Wielkopolskiego</w:t>
      </w:r>
    </w:p>
    <w:p w:rsidR="00824888" w:rsidRPr="00824888" w:rsidRDefault="00824888" w:rsidP="00824888">
      <w:pPr>
        <w:spacing w:after="0" w:line="256" w:lineRule="auto"/>
        <w:jc w:val="center"/>
        <w:rPr>
          <w:rFonts w:ascii="Tahoma" w:hAnsi="Tahoma" w:cs="Tahoma"/>
          <w:b/>
          <w:sz w:val="20"/>
          <w:szCs w:val="20"/>
        </w:rPr>
      </w:pPr>
      <w:r w:rsidRPr="00824888">
        <w:rPr>
          <w:rFonts w:ascii="Tahoma" w:hAnsi="Tahoma" w:cs="Tahoma"/>
          <w:b/>
          <w:sz w:val="20"/>
          <w:szCs w:val="20"/>
        </w:rPr>
        <w:t xml:space="preserve">z dnia </w:t>
      </w:r>
      <w:r w:rsidR="00367129">
        <w:rPr>
          <w:rFonts w:ascii="Tahoma" w:hAnsi="Tahoma" w:cs="Tahoma"/>
          <w:b/>
          <w:sz w:val="20"/>
          <w:szCs w:val="20"/>
        </w:rPr>
        <w:t>15</w:t>
      </w:r>
      <w:r w:rsidRPr="00824888">
        <w:rPr>
          <w:rFonts w:ascii="Tahoma" w:hAnsi="Tahoma" w:cs="Tahoma"/>
          <w:b/>
          <w:sz w:val="20"/>
          <w:szCs w:val="20"/>
        </w:rPr>
        <w:t xml:space="preserve"> lutego 2024 r.</w:t>
      </w:r>
    </w:p>
    <w:p w:rsidR="00824888" w:rsidRPr="00824888" w:rsidRDefault="00824888" w:rsidP="00824888">
      <w:pPr>
        <w:spacing w:line="256" w:lineRule="auto"/>
        <w:rPr>
          <w:rFonts w:ascii="Tahoma" w:hAnsi="Tahoma" w:cs="Tahoma"/>
          <w:sz w:val="20"/>
          <w:szCs w:val="20"/>
        </w:rPr>
      </w:pPr>
    </w:p>
    <w:p w:rsidR="00824888" w:rsidRPr="00824888" w:rsidRDefault="00824888" w:rsidP="00824888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 xml:space="preserve">w sprawie ogłoszenia konkursu na realizację zadania publicznego Województwa Wielkopolskiego </w:t>
      </w:r>
      <w:r w:rsidRPr="00824888">
        <w:rPr>
          <w:rFonts w:ascii="Tahoma" w:hAnsi="Tahoma" w:cs="Tahoma"/>
          <w:sz w:val="20"/>
          <w:szCs w:val="20"/>
        </w:rPr>
        <w:br/>
        <w:t xml:space="preserve">z zakresu zdrowia publicznego pn.: „Prowadzenie działań informacyjno-edukacyjnych z zakresu profilaktyki uzależnień, mających na celu zwiększenie świadomości na temat zachowań szkodliwych dla zdrowia i kształtujących prozdrowotny styl życia” w 2024 roku. </w:t>
      </w:r>
    </w:p>
    <w:p w:rsidR="00824888" w:rsidRPr="00824888" w:rsidRDefault="00824888" w:rsidP="00824888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 xml:space="preserve">Niniejsza uchwała ma na celu ogłoszenie naboru na konkurs ofert, w ramach którego wyłonione zostaną  podmioty, które będą odpowiedzialne za prowadzenie profilaktycznych działań informacyjnych </w:t>
      </w:r>
      <w:r w:rsidRPr="00824888">
        <w:rPr>
          <w:rFonts w:ascii="Tahoma" w:hAnsi="Tahoma" w:cs="Tahoma"/>
          <w:sz w:val="20"/>
          <w:szCs w:val="20"/>
        </w:rPr>
        <w:br/>
        <w:t>i edukacyjnych w zakresie promowania zdrowia i rozwiązywania problemów alkoholowych, przeciwdziałania narkomanii oraz uzależnieniom behawioralnym.</w:t>
      </w:r>
    </w:p>
    <w:p w:rsidR="00824888" w:rsidRPr="00824888" w:rsidRDefault="00824888" w:rsidP="00824888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Podmiotami uprawnionymi do składania ofert są jednostki samorządu terytorialnego (gminy, powiaty) oraz inne podmioty nie zaliczane do sektora finansów publicznych (fundacje, stowarzyszenia i pozostałe jednostki niezaliczane do sektora finansów publicznych),</w:t>
      </w:r>
      <w:r w:rsidRPr="0082488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824888">
        <w:rPr>
          <w:rFonts w:ascii="Tahoma" w:hAnsi="Tahoma" w:cs="Tahoma"/>
          <w:sz w:val="20"/>
          <w:szCs w:val="20"/>
        </w:rPr>
        <w:t xml:space="preserve">których cele statutowe lub przedmiot działalności dotyczy spraw objętych zadaniami z zakresu zdrowia publicznego określonymi </w:t>
      </w:r>
      <w:r w:rsidRPr="00824888">
        <w:rPr>
          <w:rFonts w:ascii="Tahoma" w:hAnsi="Tahoma" w:cs="Tahoma"/>
          <w:sz w:val="20"/>
          <w:szCs w:val="20"/>
        </w:rPr>
        <w:br/>
        <w:t xml:space="preserve">w art. 2 ustawy o zdrowiu publicznym (Dz. U. z 2022 r., poz. 1608 ze zm.), czyli: 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monitorowaniem i oceną stanu zdrowia społeczeństwa, zagrożeń zdrowia oraz jakości życia związanej ze zdrowiem społeczeństwa;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edukacją zdrowotną dostosowaną do potrzeb różnych grup społeczeństwa, w szczególności dzieci, młodzieży i osób starszych;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promocją zdrowia;</w:t>
      </w:r>
    </w:p>
    <w:p w:rsidR="00824888" w:rsidRPr="00824888" w:rsidRDefault="00824888" w:rsidP="00824888">
      <w:pPr>
        <w:numPr>
          <w:ilvl w:val="0"/>
          <w:numId w:val="16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kreowaniem postaw zdrowotnych i społecznych sprzyjających profilaktyce zachowań ryzykownych;</w:t>
      </w:r>
    </w:p>
    <w:p w:rsidR="00824888" w:rsidRPr="00824888" w:rsidRDefault="00824888" w:rsidP="00824888">
      <w:pPr>
        <w:numPr>
          <w:ilvl w:val="0"/>
          <w:numId w:val="17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zapobieganiem uzależnieniom oraz skutkom zdrowotnym i społecznym wynikającym z uzależnień;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profilaktyką chorób;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działaniami w celu rozpoznawania, eliminowania lub ograniczania zagrożeń i szkód dla zdrowia fizycznego i psychicznego w środowisku zamieszkania, nauki, pracy i rekreacji;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analizą adekwatności i efektywności udzielanych świadczeń opieki zdrowotnej w odniesieniu do rozpoznanych potrzeb zdrowotnych społeczeństwa;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inicjowaniem i prowadzeniem: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działalności naukowej w zakresie zdrowia publicznego,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współpracy międzynarodowej dotyczącej działalności naukowej w zakresie zdrowia publicznego;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rozwój kadr uczestniczących w realizacji zadań z zakresu zdrowia publicznego;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ograniczaniem nierówności w zdrowiu wynikających z uwarunkowań społeczno-ekonomicznych;</w:t>
      </w:r>
    </w:p>
    <w:p w:rsidR="00824888" w:rsidRPr="00824888" w:rsidRDefault="00824888" w:rsidP="00824888">
      <w:pPr>
        <w:numPr>
          <w:ilvl w:val="0"/>
          <w:numId w:val="15"/>
        </w:numPr>
        <w:suppressAutoHyphens/>
        <w:spacing w:after="0" w:line="276" w:lineRule="auto"/>
        <w:ind w:left="567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działaniami w obszarze aktywności fizycznej.</w:t>
      </w:r>
    </w:p>
    <w:p w:rsidR="00824888" w:rsidRPr="00824888" w:rsidRDefault="00824888" w:rsidP="00824888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 xml:space="preserve">Zgłoszone zadania powinny wpisywać się w działania przewidziane do realizacji w ramach Wojewódzkiego Programu Profilaktyki i Rozwiązywania Problemów Alkoholowych oraz Przeciwdziałania Narkomanii dla Województwa Wielkopolskiego na lata 2022 – 2026. </w:t>
      </w:r>
    </w:p>
    <w:p w:rsidR="00824888" w:rsidRPr="00824888" w:rsidRDefault="00824888" w:rsidP="00824888">
      <w:pPr>
        <w:suppressAutoHyphens/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 xml:space="preserve">Środki finansowe przeznaczone na dotacje celowe z budżetu na finansowanie lub dofinansowanie zadań zleconych do realizacji jednostkom zaliczanym, jak i niezaliczanym do sektora finansów publicznych, zostały zabezpieczone w dziale 851 (Ochrona zdrowia), rozdziale 85153 (Zwalczanie narkomanii): </w:t>
      </w:r>
      <w:r w:rsidRPr="00824888">
        <w:rPr>
          <w:rFonts w:ascii="Tahoma" w:hAnsi="Tahoma" w:cs="Tahoma"/>
          <w:sz w:val="20"/>
          <w:szCs w:val="20"/>
        </w:rPr>
        <w:br/>
        <w:t>§ 2310 – 100.000,00 zł, § 2320 – 100.000,00 zł, § 2810 – 100.000,00 zł, § 2820 – 100.000,00 zł, § 2830 – 100.000,00 zł; rozdziale 85154 (Przeciwdziałanie alkoholizmowi): § 2310 – 500.000,00 zł, § 2320 – 800.000,00 zł, § 2810 – 1.000.000,00 zł, § 2820 – 1.000.000,00 zł, § 2830 – 801.405,00 zł.</w:t>
      </w:r>
    </w:p>
    <w:p w:rsidR="00824888" w:rsidRPr="00824888" w:rsidRDefault="00824888" w:rsidP="00824888">
      <w:pPr>
        <w:suppressAutoHyphens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824888" w:rsidRDefault="00824888" w:rsidP="00824888">
      <w:pPr>
        <w:suppressAutoHyphens/>
        <w:spacing w:line="276" w:lineRule="auto"/>
        <w:jc w:val="both"/>
        <w:rPr>
          <w:rFonts w:ascii="Tahoma" w:hAnsi="Tahoma" w:cs="Tahoma"/>
          <w:sz w:val="20"/>
          <w:szCs w:val="20"/>
        </w:rPr>
        <w:sectPr w:rsidR="00824888" w:rsidSect="00824888">
          <w:footerReference w:type="default" r:id="rId7"/>
          <w:footerReference w:type="first" r:id="rId8"/>
          <w:pgSz w:w="11906" w:h="16838" w:code="9"/>
          <w:pgMar w:top="1134" w:right="1134" w:bottom="1134" w:left="1134" w:header="709" w:footer="284" w:gutter="0"/>
          <w:cols w:space="708"/>
          <w:titlePg/>
          <w:docGrid w:linePitch="360"/>
        </w:sectPr>
      </w:pPr>
      <w:r w:rsidRPr="00824888">
        <w:rPr>
          <w:rFonts w:ascii="Tahoma" w:hAnsi="Tahoma" w:cs="Tahoma"/>
          <w:sz w:val="20"/>
          <w:szCs w:val="20"/>
        </w:rPr>
        <w:t>Wobec powyższego, podjęcie niniejszej uchwały przez Zarząd Województ</w:t>
      </w:r>
      <w:r>
        <w:rPr>
          <w:rFonts w:ascii="Tahoma" w:hAnsi="Tahoma" w:cs="Tahoma"/>
          <w:sz w:val="20"/>
          <w:szCs w:val="20"/>
        </w:rPr>
        <w:t>wa Wielkopolskiego jest zasadne.</w:t>
      </w:r>
    </w:p>
    <w:p w:rsidR="00824888" w:rsidRPr="00824888" w:rsidRDefault="00824888" w:rsidP="00824888">
      <w:pPr>
        <w:suppressAutoHyphens/>
        <w:spacing w:after="0" w:line="240" w:lineRule="auto"/>
        <w:ind w:firstLine="5387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 w:rsidRPr="00824888">
        <w:rPr>
          <w:rFonts w:ascii="Tahoma" w:eastAsia="Times New Roman" w:hAnsi="Tahoma" w:cs="Tahoma"/>
          <w:sz w:val="18"/>
          <w:szCs w:val="18"/>
          <w:lang w:eastAsia="ar-SA"/>
        </w:rPr>
        <w:lastRenderedPageBreak/>
        <w:t xml:space="preserve">Załącznik nr 1 </w:t>
      </w:r>
    </w:p>
    <w:p w:rsidR="00824888" w:rsidRPr="00824888" w:rsidRDefault="00824888" w:rsidP="00824888">
      <w:pPr>
        <w:suppressAutoHyphens/>
        <w:spacing w:after="0" w:line="240" w:lineRule="auto"/>
        <w:ind w:firstLine="5387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 w:rsidRPr="00824888">
        <w:rPr>
          <w:rFonts w:ascii="Tahoma" w:eastAsia="Times New Roman" w:hAnsi="Tahoma" w:cs="Tahoma"/>
          <w:sz w:val="18"/>
          <w:szCs w:val="18"/>
          <w:lang w:eastAsia="ar-SA"/>
        </w:rPr>
        <w:t xml:space="preserve">do Uchwały Nr  </w:t>
      </w:r>
      <w:r w:rsidR="00367129" w:rsidRPr="00367129">
        <w:rPr>
          <w:rFonts w:ascii="Tahoma" w:eastAsia="Times New Roman" w:hAnsi="Tahoma" w:cs="Tahoma"/>
          <w:sz w:val="18"/>
          <w:szCs w:val="18"/>
          <w:lang w:eastAsia="ar-SA"/>
        </w:rPr>
        <w:t>7955/2024</w:t>
      </w:r>
    </w:p>
    <w:p w:rsidR="00824888" w:rsidRPr="00824888" w:rsidRDefault="00824888" w:rsidP="00824888">
      <w:pPr>
        <w:suppressAutoHyphens/>
        <w:spacing w:after="0" w:line="240" w:lineRule="auto"/>
        <w:ind w:firstLine="5387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 w:rsidRPr="00824888">
        <w:rPr>
          <w:rFonts w:ascii="Tahoma" w:eastAsia="Times New Roman" w:hAnsi="Tahoma" w:cs="Tahoma"/>
          <w:sz w:val="18"/>
          <w:szCs w:val="18"/>
          <w:lang w:eastAsia="ar-SA"/>
        </w:rPr>
        <w:t>Zarządu Województwa Wielkopolskiego</w:t>
      </w:r>
    </w:p>
    <w:p w:rsidR="00824888" w:rsidRPr="00824888" w:rsidRDefault="00824888" w:rsidP="00824888">
      <w:pPr>
        <w:suppressAutoHyphens/>
        <w:spacing w:after="0" w:line="240" w:lineRule="auto"/>
        <w:ind w:firstLine="5387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 w:rsidRPr="00824888">
        <w:rPr>
          <w:rFonts w:ascii="Tahoma" w:eastAsia="Times New Roman" w:hAnsi="Tahoma" w:cs="Tahoma"/>
          <w:sz w:val="18"/>
          <w:szCs w:val="18"/>
          <w:lang w:eastAsia="ar-SA"/>
        </w:rPr>
        <w:t xml:space="preserve">z </w:t>
      </w:r>
      <w:r w:rsidR="00367129">
        <w:rPr>
          <w:rFonts w:ascii="Tahoma" w:eastAsia="Times New Roman" w:hAnsi="Tahoma" w:cs="Tahoma"/>
          <w:sz w:val="18"/>
          <w:szCs w:val="18"/>
          <w:lang w:eastAsia="ar-SA"/>
        </w:rPr>
        <w:t>15</w:t>
      </w:r>
      <w:r w:rsidRPr="00824888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bookmarkStart w:id="0" w:name="_GoBack"/>
      <w:bookmarkEnd w:id="0"/>
      <w:r w:rsidRPr="00824888">
        <w:rPr>
          <w:rFonts w:ascii="Tahoma" w:eastAsia="Times New Roman" w:hAnsi="Tahoma" w:cs="Tahoma"/>
          <w:sz w:val="18"/>
          <w:szCs w:val="18"/>
          <w:lang w:eastAsia="ar-SA"/>
        </w:rPr>
        <w:t>lutego 2024 r.</w:t>
      </w:r>
    </w:p>
    <w:p w:rsidR="00824888" w:rsidRPr="00824888" w:rsidRDefault="00824888" w:rsidP="00824888">
      <w:pPr>
        <w:spacing w:after="0" w:line="240" w:lineRule="auto"/>
        <w:rPr>
          <w:rFonts w:ascii="Tahoma" w:eastAsia="Times New Roman" w:hAnsi="Tahoma" w:cs="Tahoma"/>
          <w:b/>
          <w:smallCaps/>
          <w:color w:val="000000"/>
          <w:sz w:val="20"/>
          <w:szCs w:val="20"/>
          <w:lang w:eastAsia="ar-SA"/>
        </w:rPr>
      </w:pPr>
    </w:p>
    <w:p w:rsidR="00824888" w:rsidRPr="00824888" w:rsidRDefault="00824888" w:rsidP="00824888">
      <w:pPr>
        <w:spacing w:after="0" w:line="240" w:lineRule="auto"/>
        <w:ind w:firstLine="708"/>
        <w:jc w:val="center"/>
        <w:rPr>
          <w:rFonts w:ascii="Tahoma" w:eastAsia="Times New Roman" w:hAnsi="Tahoma" w:cs="Tahoma"/>
          <w:b/>
          <w:smallCaps/>
          <w:color w:val="000000"/>
          <w:sz w:val="20"/>
          <w:szCs w:val="20"/>
          <w:lang w:eastAsia="ar-SA"/>
        </w:rPr>
      </w:pPr>
    </w:p>
    <w:p w:rsidR="00824888" w:rsidRPr="00824888" w:rsidRDefault="00824888" w:rsidP="00824888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FF0000"/>
          <w:sz w:val="16"/>
          <w:szCs w:val="20"/>
          <w:lang w:eastAsia="ar-SA"/>
        </w:rPr>
      </w:pPr>
      <w:r w:rsidRPr="00824888">
        <w:rPr>
          <w:rFonts w:ascii="Tahoma" w:eastAsia="Times New Roman" w:hAnsi="Tahoma" w:cs="Tahoma"/>
          <w:b/>
          <w:smallCaps/>
          <w:color w:val="000000"/>
          <w:sz w:val="20"/>
          <w:szCs w:val="20"/>
          <w:lang w:eastAsia="ar-SA"/>
        </w:rPr>
        <w:t>OGŁOSZENIE</w:t>
      </w:r>
    </w:p>
    <w:p w:rsidR="00824888" w:rsidRPr="00824888" w:rsidRDefault="00824888" w:rsidP="00824888">
      <w:pPr>
        <w:suppressAutoHyphens/>
        <w:spacing w:after="0" w:line="240" w:lineRule="auto"/>
        <w:ind w:left="4962"/>
        <w:jc w:val="center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824888" w:rsidRPr="00824888" w:rsidRDefault="00824888" w:rsidP="00824888">
      <w:pPr>
        <w:suppressAutoHyphens/>
        <w:spacing w:after="120" w:line="360" w:lineRule="auto"/>
        <w:jc w:val="center"/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</w:pPr>
      <w:r w:rsidRPr="00824888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t xml:space="preserve">konkursu ofert na realizację zadania publicznego Województwa Wielkopolskiego </w:t>
      </w:r>
      <w:r w:rsidRPr="00824888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br/>
        <w:t xml:space="preserve">z zakresu zdrowia publicznego wynikającego z Wojewódzkiego Programu Profilaktyki </w:t>
      </w:r>
      <w:r w:rsidRPr="00824888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br/>
        <w:t xml:space="preserve">i Rozwiązywania Problemów Alkoholowych ORAZ Przeciwdziałania Narkomanii dla Województwa Wielkopolskiego na lata 2022-2026 pn.: </w:t>
      </w:r>
    </w:p>
    <w:p w:rsidR="00824888" w:rsidRPr="00824888" w:rsidRDefault="00824888" w:rsidP="00824888">
      <w:pPr>
        <w:suppressAutoHyphens/>
        <w:spacing w:after="120" w:line="360" w:lineRule="auto"/>
        <w:jc w:val="center"/>
        <w:rPr>
          <w:rFonts w:ascii="Tahoma" w:eastAsia="Times New Roman" w:hAnsi="Tahoma" w:cs="Tahoma"/>
          <w:b/>
          <w:smallCaps/>
          <w:sz w:val="20"/>
          <w:szCs w:val="20"/>
          <w:lang w:eastAsia="ar-SA"/>
        </w:rPr>
      </w:pPr>
      <w:r w:rsidRPr="00824888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t xml:space="preserve">„Prowadzenie działań informacyjno-edukacyjnych z zakresu profilaktyki uzależnień, mających na celu zwiększenie świadomości na temat zachowań szkodliwych </w:t>
      </w:r>
      <w:r w:rsidRPr="00824888">
        <w:rPr>
          <w:rFonts w:ascii="Tahoma" w:eastAsia="Times New Roman" w:hAnsi="Tahoma" w:cs="Tahoma"/>
          <w:b/>
          <w:smallCaps/>
          <w:sz w:val="20"/>
          <w:szCs w:val="20"/>
          <w:lang w:eastAsia="ar-SA"/>
        </w:rPr>
        <w:t xml:space="preserve">dla zdrowia </w:t>
      </w:r>
      <w:r w:rsidRPr="00824888">
        <w:rPr>
          <w:rFonts w:ascii="Tahoma" w:eastAsia="Times New Roman" w:hAnsi="Tahoma" w:cs="Tahoma"/>
          <w:b/>
          <w:smallCaps/>
          <w:sz w:val="20"/>
          <w:szCs w:val="20"/>
          <w:lang w:eastAsia="ar-SA"/>
        </w:rPr>
        <w:br/>
        <w:t>i kształtujących prozdrowotny styl życia”</w:t>
      </w:r>
    </w:p>
    <w:p w:rsidR="00824888" w:rsidRPr="00824888" w:rsidRDefault="00824888" w:rsidP="00824888">
      <w:pPr>
        <w:numPr>
          <w:ilvl w:val="0"/>
          <w:numId w:val="18"/>
        </w:numPr>
        <w:suppressAutoHyphens/>
        <w:spacing w:before="120" w:after="120" w:line="360" w:lineRule="auto"/>
        <w:ind w:left="425" w:hanging="425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Podstawa prawna:</w:t>
      </w:r>
    </w:p>
    <w:p w:rsidR="00824888" w:rsidRPr="00824888" w:rsidRDefault="00824888" w:rsidP="00824888">
      <w:pPr>
        <w:numPr>
          <w:ilvl w:val="0"/>
          <w:numId w:val="23"/>
        </w:numPr>
        <w:suppressAutoHyphens/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824888">
        <w:rPr>
          <w:rFonts w:ascii="Tahoma" w:eastAsia="UniversPro-Roman" w:hAnsi="Tahoma" w:cs="Tahoma"/>
          <w:sz w:val="20"/>
          <w:szCs w:val="20"/>
          <w:lang w:eastAsia="ar-SA"/>
        </w:rPr>
        <w:t>Art. 14 ust. 1, w związku z art. 13 pkt 3 ustawy z dnia 11 września 2015 r. o zdrowiu publicznym  </w:t>
      </w:r>
      <w:r w:rsidRPr="00824888">
        <w:rPr>
          <w:rFonts w:ascii="Tahoma" w:eastAsia="UniversPro-Roman" w:hAnsi="Tahoma" w:cs="Tahoma"/>
          <w:sz w:val="20"/>
          <w:szCs w:val="20"/>
          <w:lang w:eastAsia="ar-SA"/>
        </w:rPr>
        <w:br/>
      </w:r>
      <w:r w:rsidRPr="00824888">
        <w:rPr>
          <w:rFonts w:ascii="Tahoma" w:eastAsia="Times New Roman" w:hAnsi="Tahoma" w:cs="Tahoma"/>
          <w:sz w:val="20"/>
          <w:szCs w:val="20"/>
          <w:lang w:eastAsia="ar-SA"/>
        </w:rPr>
        <w:t>(Dz. U. z 2022 r., poz. 1608 ze zm.).</w:t>
      </w:r>
    </w:p>
    <w:p w:rsidR="00824888" w:rsidRPr="00824888" w:rsidRDefault="00824888" w:rsidP="00824888">
      <w:pPr>
        <w:numPr>
          <w:ilvl w:val="0"/>
          <w:numId w:val="23"/>
        </w:numPr>
        <w:suppressAutoHyphens/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824888">
        <w:rPr>
          <w:rFonts w:ascii="Tahoma" w:eastAsia="UniversPro-Roman" w:hAnsi="Tahoma" w:cs="Tahoma"/>
          <w:sz w:val="20"/>
          <w:szCs w:val="20"/>
          <w:lang w:eastAsia="ar-SA"/>
        </w:rPr>
        <w:t>Wojewódzki Program Profilaktyki i Rozwiązywania Problemów Alkoholowych oraz Przeciwdziałania Narkomanii dla Województwa Wielkopolskiego na lata 2022 – 2026</w:t>
      </w:r>
    </w:p>
    <w:p w:rsidR="00824888" w:rsidRPr="00824888" w:rsidRDefault="00824888" w:rsidP="00824888">
      <w:pPr>
        <w:numPr>
          <w:ilvl w:val="0"/>
          <w:numId w:val="18"/>
        </w:numPr>
        <w:suppressAutoHyphens/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 xml:space="preserve">Tytuł konkursu: </w:t>
      </w:r>
    </w:p>
    <w:p w:rsidR="00824888" w:rsidRPr="00824888" w:rsidRDefault="00824888" w:rsidP="00824888">
      <w:pPr>
        <w:keepLines/>
        <w:suppressAutoHyphens/>
        <w:spacing w:before="240" w:after="120" w:line="360" w:lineRule="auto"/>
        <w:ind w:left="425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824888">
        <w:rPr>
          <w:rFonts w:ascii="Tahoma" w:hAnsi="Tahoma" w:cs="Tahoma"/>
          <w:sz w:val="20"/>
          <w:szCs w:val="20"/>
        </w:rPr>
        <w:t>Prowadzenie działań informacyjno-edukacyjnych z zakresu profilaktyki uzależnień, mających na celu zwiększenie świadomości na temat zachowań szkodliwych dla zdrowia i kształtujących prozdrowotny styl życia</w:t>
      </w:r>
      <w:r w:rsidRPr="00824888">
        <w:rPr>
          <w:rFonts w:ascii="Tahoma" w:eastAsia="UniversPro-Roman" w:hAnsi="Tahoma" w:cs="Tahoma"/>
          <w:sz w:val="20"/>
          <w:szCs w:val="20"/>
          <w:lang w:eastAsia="ar-SA"/>
        </w:rPr>
        <w:t>.</w:t>
      </w:r>
    </w:p>
    <w:p w:rsidR="00824888" w:rsidRPr="00824888" w:rsidRDefault="00824888" w:rsidP="00824888">
      <w:pPr>
        <w:keepLines/>
        <w:numPr>
          <w:ilvl w:val="0"/>
          <w:numId w:val="18"/>
        </w:numPr>
        <w:suppressAutoHyphens/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Opis zadania będącego przedmiotem konkursu:</w:t>
      </w:r>
    </w:p>
    <w:p w:rsidR="00824888" w:rsidRPr="00824888" w:rsidRDefault="00824888" w:rsidP="00824888">
      <w:pPr>
        <w:keepLines/>
        <w:suppressAutoHyphens/>
        <w:spacing w:after="60" w:line="360" w:lineRule="auto"/>
        <w:ind w:left="426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824888">
        <w:rPr>
          <w:rFonts w:ascii="Tahoma" w:eastAsia="UniversPro-Roman" w:hAnsi="Tahoma" w:cs="Tahoma"/>
          <w:sz w:val="20"/>
          <w:szCs w:val="20"/>
          <w:lang w:eastAsia="ar-SA"/>
        </w:rPr>
        <w:t xml:space="preserve">Prowadzenie działalności informacyjnej i edukacyjnej w zakresie promowania zdrowia </w:t>
      </w:r>
      <w:r w:rsidRPr="00824888">
        <w:rPr>
          <w:rFonts w:ascii="Tahoma" w:eastAsia="UniversPro-Roman" w:hAnsi="Tahoma" w:cs="Tahoma"/>
          <w:sz w:val="20"/>
          <w:szCs w:val="20"/>
          <w:lang w:eastAsia="ar-SA"/>
        </w:rPr>
        <w:br/>
        <w:t>i rozwiązywania problemów alkoholowych, przeciwdziałania narkomanii oraz uzależnieniom behawioralnym.</w:t>
      </w:r>
    </w:p>
    <w:p w:rsidR="00824888" w:rsidRPr="00824888" w:rsidRDefault="00824888" w:rsidP="00824888">
      <w:pPr>
        <w:keepLines/>
        <w:numPr>
          <w:ilvl w:val="0"/>
          <w:numId w:val="18"/>
        </w:numPr>
        <w:suppressAutoHyphens/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Łączna wartość środków finansowych przeznaczonych na zadanie:</w:t>
      </w:r>
    </w:p>
    <w:p w:rsidR="00824888" w:rsidRPr="00824888" w:rsidRDefault="00824888" w:rsidP="00824888">
      <w:pPr>
        <w:keepLines/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eastAsia="Times New Roman" w:hAnsi="Tahoma" w:cs="Tahoma"/>
          <w:sz w:val="20"/>
          <w:szCs w:val="20"/>
          <w:lang w:eastAsia="pl-PL"/>
        </w:rPr>
        <w:t xml:space="preserve">Na działania, o których mowa w części III ogłoszenia, przeznacza się środki finansowe w wysokości </w:t>
      </w:r>
      <w:r w:rsidRPr="0082488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łącznej 4.601.405</w:t>
      </w:r>
      <w:r w:rsidRPr="00824888">
        <w:rPr>
          <w:rFonts w:ascii="Tahoma" w:hAnsi="Tahoma" w:cs="Tahoma"/>
          <w:sz w:val="20"/>
          <w:szCs w:val="20"/>
          <w:u w:val="single"/>
        </w:rPr>
        <w:t>,00 zł</w:t>
      </w:r>
      <w:r w:rsidRPr="00824888">
        <w:rPr>
          <w:rFonts w:ascii="Tahoma" w:eastAsia="Times New Roman" w:hAnsi="Tahoma" w:cs="Tahoma"/>
          <w:sz w:val="20"/>
          <w:szCs w:val="20"/>
          <w:lang w:eastAsia="ar-SA"/>
        </w:rPr>
        <w:t xml:space="preserve">, które zabezpieczone zostały </w:t>
      </w:r>
      <w:r w:rsidRPr="00824888">
        <w:rPr>
          <w:rFonts w:ascii="Tahoma" w:hAnsi="Tahoma" w:cs="Tahoma"/>
          <w:sz w:val="20"/>
          <w:szCs w:val="20"/>
        </w:rPr>
        <w:t>w dziale 851 (Ochrona zdrowia):</w:t>
      </w:r>
    </w:p>
    <w:p w:rsidR="00824888" w:rsidRPr="00824888" w:rsidRDefault="00824888" w:rsidP="00824888">
      <w:pPr>
        <w:keepLines/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 xml:space="preserve">- w rozdziale 85153 (Zwalczanie narkomanii): </w:t>
      </w:r>
    </w:p>
    <w:p w:rsidR="00824888" w:rsidRPr="00824888" w:rsidRDefault="00824888" w:rsidP="00824888">
      <w:pPr>
        <w:keepLines/>
        <w:numPr>
          <w:ilvl w:val="0"/>
          <w:numId w:val="24"/>
        </w:numPr>
        <w:suppressAutoHyphens/>
        <w:spacing w:after="0" w:line="360" w:lineRule="auto"/>
        <w:ind w:left="77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2310 – 100.000,00 zł (Dotacja celowa przekazana gminie na zadania bieżące realizowane na podstawie porozumień (umów) między jednostkami samorządu terytorialnego),</w:t>
      </w:r>
    </w:p>
    <w:p w:rsidR="00824888" w:rsidRPr="00824888" w:rsidRDefault="00824888" w:rsidP="00824888">
      <w:pPr>
        <w:keepLines/>
        <w:numPr>
          <w:ilvl w:val="0"/>
          <w:numId w:val="24"/>
        </w:numPr>
        <w:suppressAutoHyphens/>
        <w:spacing w:after="0" w:line="360" w:lineRule="auto"/>
        <w:ind w:left="77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2320 – 100.000,00 zł (Dotacja celowa przekazana dla powiatu na zadania bieżące realizowane na podstawie porozumień (umów) między jednostkami samorządu terytorialnego),</w:t>
      </w:r>
    </w:p>
    <w:p w:rsidR="00824888" w:rsidRPr="00824888" w:rsidRDefault="00824888" w:rsidP="00824888">
      <w:pPr>
        <w:keepLines/>
        <w:numPr>
          <w:ilvl w:val="0"/>
          <w:numId w:val="24"/>
        </w:numPr>
        <w:suppressAutoHyphens/>
        <w:spacing w:after="0" w:line="360" w:lineRule="auto"/>
        <w:ind w:left="77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2810 – 100.000,00 zł (Dotacja celowa z budżetu na finansowanie lub dofinansowanie zadań zleconych do realizacji fundacjom),</w:t>
      </w:r>
    </w:p>
    <w:p w:rsidR="00824888" w:rsidRPr="00824888" w:rsidRDefault="00824888" w:rsidP="00824888">
      <w:pPr>
        <w:keepLines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lastRenderedPageBreak/>
        <w:t>§ 2820 – 100.000,00 zł (Dotacja celowa z budżetu na finansowanie lub dofinansowanie zadań zleconych do realizacji stowarzyszeniom)</w:t>
      </w:r>
    </w:p>
    <w:p w:rsidR="00824888" w:rsidRPr="00824888" w:rsidRDefault="00824888" w:rsidP="00824888">
      <w:pPr>
        <w:keepLines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2830 – 100.000,00 zł (Dotacja celowa z budżetu na finansowanie lub dofinansowanie zadań zleconych do realizacji pozostałym jednostkom niezaliczanym do sektora finansów publicznych)</w:t>
      </w:r>
    </w:p>
    <w:p w:rsidR="00824888" w:rsidRPr="00824888" w:rsidRDefault="00824888" w:rsidP="00824888">
      <w:pPr>
        <w:keepLines/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 xml:space="preserve">- w rozdziale 85154 (Przeciwdziałanie alkoholizmowi): </w:t>
      </w:r>
    </w:p>
    <w:p w:rsidR="00824888" w:rsidRPr="00824888" w:rsidRDefault="00824888" w:rsidP="00824888">
      <w:pPr>
        <w:keepLines/>
        <w:numPr>
          <w:ilvl w:val="0"/>
          <w:numId w:val="25"/>
        </w:numPr>
        <w:suppressAutoHyphens/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2310 – 500.000,00 zł (Dotacja celowa przekazana gminie na zadania bieżące realizowane na podstawie porozumień (umów) między jednostkami samorządu terytorialnego),</w:t>
      </w:r>
    </w:p>
    <w:p w:rsidR="00824888" w:rsidRPr="00824888" w:rsidRDefault="00824888" w:rsidP="00824888">
      <w:pPr>
        <w:keepLines/>
        <w:numPr>
          <w:ilvl w:val="0"/>
          <w:numId w:val="25"/>
        </w:numPr>
        <w:suppressAutoHyphens/>
        <w:spacing w:after="0" w:line="36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2320 – 800.000,00 zł (Dotacja celowa przekazana dla powiatu na zadania bieżące realizowane na podstawie porozumień (umów) między jednostkami samorządu terytorialnego),</w:t>
      </w:r>
    </w:p>
    <w:p w:rsidR="00824888" w:rsidRPr="00824888" w:rsidRDefault="00824888" w:rsidP="00824888">
      <w:pPr>
        <w:keepLines/>
        <w:numPr>
          <w:ilvl w:val="0"/>
          <w:numId w:val="25"/>
        </w:numPr>
        <w:suppressAutoHyphens/>
        <w:spacing w:after="0" w:line="36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2810 – 1.000.000,00 zł (Dotacja celowa z budżetu na finansowanie lub dofinansowanie zadań zleconych do realizacji fundacjom),</w:t>
      </w:r>
    </w:p>
    <w:p w:rsidR="00824888" w:rsidRPr="00824888" w:rsidRDefault="00824888" w:rsidP="00824888">
      <w:pPr>
        <w:keepLines/>
        <w:numPr>
          <w:ilvl w:val="0"/>
          <w:numId w:val="25"/>
        </w:numPr>
        <w:suppressAutoHyphens/>
        <w:spacing w:after="0" w:line="360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2820 – 1.000.000,00 zł (Dotacja celowa z budżetu na finansowanie lub dofinansowanie zadań zleconych do realizacji stowarzyszeniom)</w:t>
      </w:r>
    </w:p>
    <w:p w:rsidR="00824888" w:rsidRPr="00824888" w:rsidRDefault="00824888" w:rsidP="00824888">
      <w:pPr>
        <w:keepLines/>
        <w:numPr>
          <w:ilvl w:val="0"/>
          <w:numId w:val="25"/>
        </w:numPr>
        <w:suppressAutoHyphens/>
        <w:spacing w:after="0" w:line="360" w:lineRule="auto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824888">
        <w:rPr>
          <w:rFonts w:ascii="Tahoma" w:hAnsi="Tahoma" w:cs="Tahoma"/>
          <w:sz w:val="20"/>
          <w:szCs w:val="20"/>
        </w:rPr>
        <w:t>§ 2830 – 801.405,00 zł</w:t>
      </w:r>
      <w:r w:rsidRPr="00824888">
        <w:rPr>
          <w:rFonts w:ascii="Arial" w:eastAsia="Times New Roman" w:hAnsi="Arial" w:cs="Times New Roman"/>
          <w:sz w:val="16"/>
          <w:szCs w:val="20"/>
          <w:lang w:eastAsia="ar-SA"/>
        </w:rPr>
        <w:t xml:space="preserve"> </w:t>
      </w:r>
      <w:r w:rsidRPr="00824888">
        <w:rPr>
          <w:rFonts w:ascii="Tahoma" w:hAnsi="Tahoma" w:cs="Tahoma"/>
          <w:sz w:val="20"/>
          <w:szCs w:val="20"/>
        </w:rPr>
        <w:t>(Dotacja celowa z budżetu na finansowanie lub dofinansowanie zadań zleconych do realizacji pozostałym jednostkom niezaliczanym do sektora finansów publicznych).</w:t>
      </w:r>
    </w:p>
    <w:p w:rsidR="00824888" w:rsidRPr="00824888" w:rsidRDefault="00824888" w:rsidP="00824888">
      <w:pPr>
        <w:keepLines/>
        <w:numPr>
          <w:ilvl w:val="0"/>
          <w:numId w:val="18"/>
        </w:numPr>
        <w:suppressAutoHyphens/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Termin realizacji zadania</w:t>
      </w:r>
    </w:p>
    <w:p w:rsidR="00824888" w:rsidRPr="00824888" w:rsidRDefault="00824888" w:rsidP="00824888">
      <w:pPr>
        <w:keepLines/>
        <w:numPr>
          <w:ilvl w:val="0"/>
          <w:numId w:val="19"/>
        </w:numPr>
        <w:suppressAutoHyphens/>
        <w:spacing w:before="40" w:after="40" w:line="36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4888">
        <w:rPr>
          <w:rFonts w:ascii="Tahoma" w:eastAsia="Times New Roman" w:hAnsi="Tahoma" w:cs="Tahoma"/>
          <w:sz w:val="20"/>
          <w:szCs w:val="20"/>
          <w:lang w:eastAsia="pl-PL"/>
        </w:rPr>
        <w:t xml:space="preserve">Nie wcześniej niż od </w:t>
      </w:r>
      <w:r w:rsidR="008117DB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824888">
        <w:rPr>
          <w:rFonts w:ascii="Tahoma" w:eastAsia="Times New Roman" w:hAnsi="Tahoma" w:cs="Tahoma"/>
          <w:sz w:val="20"/>
          <w:szCs w:val="20"/>
          <w:lang w:eastAsia="pl-PL"/>
        </w:rPr>
        <w:t xml:space="preserve"> maja 2024 r. i nie później niż do 31 grudnia 2024 r. </w:t>
      </w:r>
    </w:p>
    <w:p w:rsidR="00824888" w:rsidRPr="00824888" w:rsidRDefault="00824888" w:rsidP="00824888">
      <w:pPr>
        <w:keepLines/>
        <w:numPr>
          <w:ilvl w:val="0"/>
          <w:numId w:val="19"/>
        </w:numPr>
        <w:suppressAutoHyphens/>
        <w:spacing w:before="40" w:after="40" w:line="36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4888">
        <w:rPr>
          <w:rFonts w:ascii="Tahoma" w:eastAsia="Times New Roman" w:hAnsi="Tahoma" w:cs="Tahoma"/>
          <w:sz w:val="20"/>
          <w:szCs w:val="20"/>
          <w:lang w:eastAsia="pl-PL"/>
        </w:rPr>
        <w:t>W uzasadnionych przypadkach dopuszcza się możliwość skrócenia terminu przewidzianego na rozpoczęcie realizacji zadania.</w:t>
      </w:r>
    </w:p>
    <w:p w:rsidR="00824888" w:rsidRPr="00824888" w:rsidRDefault="00824888" w:rsidP="00C44490">
      <w:pPr>
        <w:numPr>
          <w:ilvl w:val="0"/>
          <w:numId w:val="18"/>
        </w:numPr>
        <w:suppressAutoHyphens/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Podmioty uprawnione do składania ofert:</w:t>
      </w:r>
    </w:p>
    <w:p w:rsidR="00824888" w:rsidRPr="00824888" w:rsidRDefault="00824888" w:rsidP="00C44490">
      <w:pPr>
        <w:numPr>
          <w:ilvl w:val="0"/>
          <w:numId w:val="28"/>
        </w:numPr>
        <w:suppressAutoHyphens/>
        <w:spacing w:before="40" w:after="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4888">
        <w:rPr>
          <w:rFonts w:ascii="Tahoma" w:eastAsia="Times New Roman" w:hAnsi="Tahoma" w:cs="Tahoma"/>
          <w:sz w:val="20"/>
          <w:szCs w:val="20"/>
          <w:lang w:eastAsia="pl-PL"/>
        </w:rPr>
        <w:t>Jednostki samorządu terytorialnego szczebla gminnego i powiatowego.</w:t>
      </w:r>
    </w:p>
    <w:p w:rsidR="00C44490" w:rsidRDefault="00824888" w:rsidP="00C44490">
      <w:pPr>
        <w:numPr>
          <w:ilvl w:val="0"/>
          <w:numId w:val="28"/>
        </w:numPr>
        <w:suppressAutoHyphens/>
        <w:spacing w:before="40" w:after="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4888">
        <w:rPr>
          <w:rFonts w:ascii="Tahoma" w:eastAsia="Times New Roman" w:hAnsi="Tahoma" w:cs="Tahoma"/>
          <w:sz w:val="20"/>
          <w:szCs w:val="20"/>
          <w:lang w:eastAsia="pl-PL"/>
        </w:rPr>
        <w:t>Fundacje, stowarzyszenia i pozostałe jednostki niezaliczane do sektora finansów publicznych, których cele statutowe lub przedmiot działalności dotyczą spraw objętych zadaniami z zakresu zdrowia publicznego określonymi w art. 2 ustawy o zdrowiu publicznym.</w:t>
      </w:r>
    </w:p>
    <w:p w:rsidR="00824888" w:rsidRPr="00824888" w:rsidRDefault="00824888" w:rsidP="00C44490">
      <w:pPr>
        <w:suppressAutoHyphens/>
        <w:spacing w:before="240" w:after="120" w:line="360" w:lineRule="auto"/>
        <w:ind w:left="360"/>
        <w:jc w:val="both"/>
        <w:outlineLvl w:val="1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="UniversPro-Roman" w:hAnsi="Tahoma" w:cs="Tahoma"/>
          <w:b/>
          <w:sz w:val="20"/>
          <w:szCs w:val="20"/>
          <w:lang w:eastAsia="ar-SA"/>
        </w:rPr>
        <w:t xml:space="preserve">VII.  </w:t>
      </w: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Warunki realizacji zadania (wymogi formalne)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before="240" w:after="120" w:line="360" w:lineRule="auto"/>
        <w:jc w:val="both"/>
        <w:outlineLvl w:val="1"/>
        <w:rPr>
          <w:rFonts w:ascii="Tahoma" w:eastAsia="UniversPro-Roman" w:hAnsi="Tahoma" w:cstheme="majorBidi"/>
          <w:sz w:val="20"/>
          <w:szCs w:val="26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 xml:space="preserve">Zapewnienie minimum </w:t>
      </w:r>
      <w:r w:rsidRPr="00824888">
        <w:rPr>
          <w:rFonts w:ascii="Tahoma" w:eastAsia="UniversPro-Roman" w:hAnsi="Tahoma" w:cstheme="majorBidi"/>
          <w:b/>
          <w:sz w:val="20"/>
          <w:szCs w:val="26"/>
          <w:lang w:eastAsia="ar-SA"/>
        </w:rPr>
        <w:t>5,00 %</w:t>
      </w: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 xml:space="preserve"> </w:t>
      </w:r>
      <w:r w:rsidRPr="00824888">
        <w:rPr>
          <w:rFonts w:ascii="Tahoma" w:eastAsia="UniversPro-Roman" w:hAnsi="Tahoma" w:cstheme="majorBidi"/>
          <w:b/>
          <w:sz w:val="20"/>
          <w:szCs w:val="26"/>
          <w:lang w:eastAsia="ar-SA"/>
        </w:rPr>
        <w:t xml:space="preserve">finansowych środków własnych </w:t>
      </w: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>w stosunku do wnioskowanej kwoty dotacji.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after="0" w:line="360" w:lineRule="auto"/>
        <w:ind w:left="714" w:hanging="357"/>
        <w:contextualSpacing/>
        <w:jc w:val="both"/>
        <w:outlineLvl w:val="1"/>
        <w:rPr>
          <w:rFonts w:ascii="Tahoma" w:eastAsia="UniversPro-Roman" w:hAnsi="Tahoma" w:cstheme="majorBidi"/>
          <w:sz w:val="20"/>
          <w:szCs w:val="26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>Warunki kwalifikowalności kosztów.</w:t>
      </w:r>
    </w:p>
    <w:p w:rsidR="00824888" w:rsidRPr="00824888" w:rsidRDefault="00824888" w:rsidP="00C44490">
      <w:pPr>
        <w:numPr>
          <w:ilvl w:val="0"/>
          <w:numId w:val="29"/>
        </w:numPr>
        <w:suppressAutoHyphens/>
        <w:spacing w:after="0" w:line="360" w:lineRule="auto"/>
        <w:ind w:left="714" w:hanging="357"/>
        <w:jc w:val="both"/>
        <w:outlineLvl w:val="2"/>
        <w:rPr>
          <w:rFonts w:ascii="Tahoma" w:eastAsia="UniversPro-Roman" w:hAnsi="Tahoma" w:cstheme="majorBidi"/>
          <w:sz w:val="20"/>
          <w:szCs w:val="24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4"/>
          <w:lang w:eastAsia="ar-SA"/>
        </w:rPr>
        <w:t>Koszty powinny być bezpośrednio związane z realizowanym zadaniem i znajdować swoje uzasadnienie w toku jego realizacji, ujęte w budżecie projektu, a następnie faktycznie poniesione w okresie wskazanym w umowie i udokumentowane.</w:t>
      </w:r>
    </w:p>
    <w:p w:rsidR="00824888" w:rsidRPr="00824888" w:rsidRDefault="00824888" w:rsidP="00C44490">
      <w:pPr>
        <w:numPr>
          <w:ilvl w:val="0"/>
          <w:numId w:val="29"/>
        </w:numPr>
        <w:suppressAutoHyphens/>
        <w:spacing w:after="0" w:line="360" w:lineRule="auto"/>
        <w:ind w:left="714" w:hanging="357"/>
        <w:jc w:val="both"/>
        <w:outlineLvl w:val="2"/>
        <w:rPr>
          <w:rFonts w:ascii="Tahoma" w:eastAsia="UniversPro-Roman" w:hAnsi="Tahoma" w:cs="Tahoma"/>
          <w:sz w:val="20"/>
          <w:szCs w:val="24"/>
          <w:lang w:eastAsia="ar-SA"/>
        </w:rPr>
      </w:pPr>
      <w:r w:rsidRPr="00824888">
        <w:rPr>
          <w:rFonts w:ascii="Tahoma" w:eastAsia="UniversPro-Roman" w:hAnsi="Tahoma" w:cs="Tahoma"/>
          <w:sz w:val="20"/>
          <w:szCs w:val="24"/>
          <w:lang w:eastAsia="ar-S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824888" w:rsidRPr="00824888" w:rsidRDefault="00824888" w:rsidP="00C44490">
      <w:pPr>
        <w:numPr>
          <w:ilvl w:val="0"/>
          <w:numId w:val="29"/>
        </w:numPr>
        <w:suppressAutoHyphens/>
        <w:spacing w:after="0" w:line="360" w:lineRule="auto"/>
        <w:ind w:left="714" w:hanging="357"/>
        <w:jc w:val="both"/>
        <w:outlineLvl w:val="2"/>
        <w:rPr>
          <w:rFonts w:ascii="Tahoma" w:eastAsiaTheme="majorEastAsia" w:hAnsi="Tahoma" w:cstheme="majorBidi"/>
          <w:sz w:val="20"/>
          <w:szCs w:val="24"/>
          <w:lang w:eastAsia="ar-SA"/>
        </w:rPr>
      </w:pPr>
      <w:r w:rsidRPr="00824888">
        <w:rPr>
          <w:rFonts w:ascii="Tahoma" w:eastAsiaTheme="majorEastAsia" w:hAnsi="Tahoma" w:cstheme="majorBidi"/>
          <w:sz w:val="20"/>
          <w:szCs w:val="24"/>
          <w:u w:val="single"/>
          <w:lang w:eastAsia="ar-SA"/>
        </w:rPr>
        <w:t xml:space="preserve">Koszty wykazane w ofercie </w:t>
      </w:r>
      <w:r w:rsidRPr="00824888">
        <w:rPr>
          <w:rFonts w:ascii="Tahoma" w:eastAsiaTheme="majorEastAsia" w:hAnsi="Tahoma" w:cstheme="majorBidi"/>
          <w:sz w:val="20"/>
          <w:szCs w:val="24"/>
          <w:lang w:eastAsia="ar-SA"/>
        </w:rPr>
        <w:t>muszą być kosztami bezpośrednio związanymi z celem konkursu, o którym mowa w części III ogłoszenia.</w:t>
      </w:r>
    </w:p>
    <w:p w:rsidR="00824888" w:rsidRPr="00824888" w:rsidRDefault="00824888" w:rsidP="00C44490">
      <w:pPr>
        <w:numPr>
          <w:ilvl w:val="0"/>
          <w:numId w:val="29"/>
        </w:numPr>
        <w:suppressAutoHyphens/>
        <w:spacing w:after="0" w:line="360" w:lineRule="auto"/>
        <w:ind w:left="714" w:hanging="357"/>
        <w:jc w:val="both"/>
        <w:outlineLvl w:val="2"/>
        <w:rPr>
          <w:rFonts w:ascii="Tahoma" w:eastAsia="UniversPro-Roman" w:hAnsi="Tahoma" w:cs="Tahoma"/>
          <w:sz w:val="20"/>
          <w:szCs w:val="24"/>
          <w:lang w:eastAsia="ar-SA"/>
        </w:rPr>
      </w:pPr>
      <w:r w:rsidRPr="00824888">
        <w:rPr>
          <w:rFonts w:ascii="Tahoma" w:eastAsia="UniversPro-Roman" w:hAnsi="Tahoma" w:cs="Tahoma"/>
          <w:sz w:val="20"/>
          <w:szCs w:val="24"/>
          <w:lang w:eastAsia="ar-SA"/>
        </w:rPr>
        <w:lastRenderedPageBreak/>
        <w:t xml:space="preserve">Dofinansowanie przeznaczone będzie przede wszystkim na realizację działań merytorycznych. </w:t>
      </w:r>
      <w:r w:rsidRPr="00824888">
        <w:rPr>
          <w:rFonts w:ascii="Tahoma" w:eastAsia="UniversPro-Roman" w:hAnsi="Tahoma" w:cs="Tahoma"/>
          <w:sz w:val="20"/>
          <w:szCs w:val="24"/>
          <w:u w:val="single"/>
          <w:lang w:eastAsia="ar-SA"/>
        </w:rPr>
        <w:t>Wnioskowanie o dofinansowanie kosztów rzeczowych lub administracyjnych wymaga szczegółowego uzasadnienia.</w:t>
      </w:r>
      <w:r w:rsidRPr="00824888">
        <w:rPr>
          <w:rFonts w:ascii="Tahoma" w:eastAsia="UniversPro-Roman" w:hAnsi="Tahoma" w:cs="Tahoma"/>
          <w:sz w:val="20"/>
          <w:szCs w:val="24"/>
          <w:lang w:eastAsia="ar-SA"/>
        </w:rPr>
        <w:t xml:space="preserve"> 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after="0" w:line="360" w:lineRule="auto"/>
        <w:ind w:left="714" w:hanging="357"/>
        <w:contextualSpacing/>
        <w:jc w:val="both"/>
        <w:outlineLvl w:val="1"/>
        <w:rPr>
          <w:rFonts w:ascii="Tahoma" w:eastAsia="UniversPro-Roman" w:hAnsi="Tahoma" w:cstheme="majorBidi"/>
          <w:sz w:val="20"/>
          <w:szCs w:val="26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 xml:space="preserve">Wsparcie finansowe może objąć wszelkie koszty związane z realizacją działań, mających na celu </w:t>
      </w:r>
    </w:p>
    <w:p w:rsidR="00824888" w:rsidRPr="00824888" w:rsidRDefault="00824888" w:rsidP="00C44490">
      <w:pPr>
        <w:keepNext/>
        <w:suppressAutoHyphens/>
        <w:spacing w:after="0" w:line="360" w:lineRule="auto"/>
        <w:ind w:left="720"/>
        <w:contextualSpacing/>
        <w:jc w:val="both"/>
        <w:outlineLvl w:val="1"/>
        <w:rPr>
          <w:rFonts w:ascii="Tahoma" w:eastAsia="UniversPro-Roman" w:hAnsi="Tahoma" w:cstheme="majorBidi"/>
          <w:sz w:val="20"/>
          <w:szCs w:val="26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>prowadzenie profilaktycznej działalności informacyjnej i edukacyjnej w zakresie promowania zdrowia i rozwiązywania problemów alkoholowych, przeciwdziałania narkomanii oraz uzależnieniom behawioralnym, np.: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profilaktyka szkód zdrowotnych i społecznych związanych z używaniem lub nadużywaniem substancji psychoaktywnych,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="Tahoma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="Tahoma"/>
          <w:iCs/>
          <w:sz w:val="20"/>
          <w:szCs w:val="20"/>
          <w:lang w:eastAsia="ar-SA"/>
        </w:rPr>
        <w:t>działania informacyjne zmierzające do zahamowania tempa wzrostu popytu na środki psychoaktywne,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="Tahoma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="Tahoma"/>
          <w:iCs/>
          <w:sz w:val="20"/>
          <w:szCs w:val="20"/>
          <w:lang w:eastAsia="ar-SA"/>
        </w:rPr>
        <w:t xml:space="preserve">realizacja oraz wspieranie kampanii, programów i działań edukacyjnych przeciwdziałających używaniu substancji psychoaktywnych, uzależnieniom behawioralnym i/lub przemocy </w:t>
      </w:r>
      <w:r w:rsidRPr="00824888">
        <w:rPr>
          <w:rFonts w:ascii="Tahoma" w:eastAsiaTheme="majorEastAsia" w:hAnsi="Tahoma" w:cs="Tahoma"/>
          <w:iCs/>
          <w:sz w:val="20"/>
          <w:szCs w:val="20"/>
          <w:lang w:eastAsia="ar-SA"/>
        </w:rPr>
        <w:br/>
        <w:t>w rodzinach z problemem uzależnień,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szkolenia i warsztaty w zakresie wzmacniania umiejętności rozumienia i wyrażania emocji w sposób akceptowany społecznie, komunikowania własnych potrzeb i problemów,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szkolenia dotyczące wczesnej interwencji kryzysowej (głównie komunikacji z osobą w kryzysie) dla rodziców, opiekunów, nauczycieli, wychowawców i innych profesjonalistów pracujących z dziećmi i młodzieżą,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 xml:space="preserve">działania </w:t>
      </w:r>
      <w:proofErr w:type="spellStart"/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informacyjno</w:t>
      </w:r>
      <w:proofErr w:type="spellEnd"/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 xml:space="preserve"> – edukacyjne na temat rakotwórczego wpływu alkoholu na organizm,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 xml:space="preserve">działania </w:t>
      </w:r>
      <w:proofErr w:type="spellStart"/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informacyjno</w:t>
      </w:r>
      <w:proofErr w:type="spellEnd"/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 xml:space="preserve"> – edukacyjne dotyczące szkodliwego spożywania alkoholu przez kobiety w ciąży,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warsztaty dla rodziców lub programy profilaktyczne kierowane do dzieci, włączające także rodziców, których celem jest poszerzanie wiedzy i umiejętności w zakresie profilaktyki uzależnień behawioralnych,</w:t>
      </w:r>
    </w:p>
    <w:p w:rsidR="00824888" w:rsidRPr="00824888" w:rsidRDefault="00824888" w:rsidP="00C44490">
      <w:pPr>
        <w:keepNext/>
        <w:numPr>
          <w:ilvl w:val="0"/>
          <w:numId w:val="33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szkolenia i warsztaty w zakresie umiejętności rozpoznawania oraz kierowania uczniów do pomocy specjalistycznej w sytuacjach kryzysowych,</w:t>
      </w:r>
    </w:p>
    <w:p w:rsidR="00824888" w:rsidRPr="00824888" w:rsidRDefault="00824888" w:rsidP="00C44490">
      <w:pPr>
        <w:numPr>
          <w:ilvl w:val="0"/>
          <w:numId w:val="33"/>
        </w:numPr>
        <w:suppressAutoHyphens/>
        <w:spacing w:after="0" w:line="360" w:lineRule="auto"/>
        <w:ind w:left="714" w:hanging="357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szkolenia z zakresu wykorzystywania w pracy z dzieckiem dialogu motywującego oraz zasad porozumienia bez przemocy,</w:t>
      </w:r>
    </w:p>
    <w:p w:rsidR="00824888" w:rsidRPr="00824888" w:rsidRDefault="00824888" w:rsidP="00C44490">
      <w:pPr>
        <w:numPr>
          <w:ilvl w:val="0"/>
          <w:numId w:val="33"/>
        </w:numPr>
        <w:suppressAutoHyphens/>
        <w:spacing w:after="0" w:line="360" w:lineRule="auto"/>
        <w:ind w:left="714" w:hanging="357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 xml:space="preserve">szkolenia i warsztaty z zakresu kształtowania umiejętności poszukiwania wsparcia </w:t>
      </w: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br/>
        <w:t xml:space="preserve">i pomocy w najbliższym otoczeniu (środowisku lokalnym), </w:t>
      </w:r>
    </w:p>
    <w:p w:rsidR="00824888" w:rsidRPr="00824888" w:rsidRDefault="00824888" w:rsidP="00C44490">
      <w:pPr>
        <w:numPr>
          <w:ilvl w:val="0"/>
          <w:numId w:val="33"/>
        </w:numPr>
        <w:suppressAutoHyphens/>
        <w:spacing w:after="0" w:line="360" w:lineRule="auto"/>
        <w:ind w:left="714" w:hanging="357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="UniversPro-Roman" w:hAnsi="Tahoma" w:cs="Tahoma"/>
          <w:color w:val="000000" w:themeColor="text1"/>
          <w:sz w:val="20"/>
          <w:szCs w:val="20"/>
          <w:lang w:eastAsia="ar-SA"/>
        </w:rPr>
        <w:t>działania</w:t>
      </w:r>
      <w:r w:rsidRPr="00824888">
        <w:rPr>
          <w:rFonts w:ascii="Arial" w:eastAsia="Times New Roman" w:hAnsi="Arial" w:cs="Times New Roman"/>
          <w:sz w:val="16"/>
          <w:szCs w:val="20"/>
          <w:lang w:eastAsia="ar-SA"/>
        </w:rPr>
        <w:t xml:space="preserve"> </w:t>
      </w:r>
      <w:r w:rsidRPr="00824888">
        <w:rPr>
          <w:rFonts w:ascii="Tahoma" w:eastAsia="UniversPro-Roman" w:hAnsi="Tahoma" w:cs="Tahoma"/>
          <w:color w:val="000000" w:themeColor="text1"/>
          <w:sz w:val="20"/>
          <w:szCs w:val="20"/>
          <w:lang w:eastAsia="ar-SA"/>
        </w:rPr>
        <w:t xml:space="preserve">promujące zdrowie i profilaktykę uzależnień (od alkoholu, narkotyków </w:t>
      </w:r>
      <w:r w:rsidRPr="00824888">
        <w:rPr>
          <w:rFonts w:ascii="Tahoma" w:eastAsia="UniversPro-Roman" w:hAnsi="Tahoma" w:cs="Tahoma"/>
          <w:color w:val="000000" w:themeColor="text1"/>
          <w:sz w:val="20"/>
          <w:szCs w:val="20"/>
          <w:lang w:eastAsia="ar-SA"/>
        </w:rPr>
        <w:br/>
        <w:t>i behawioralnych) stanowiące element integralny działań o charakterze edukacyjnym, sportowym, turystycznym, rekreacyjnym, czy też kulturalnym (adresowanych do dzieci i młodzieży i/lub osób dorosłych)</w:t>
      </w:r>
      <w:r w:rsidRPr="0082488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. 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after="0" w:line="360" w:lineRule="auto"/>
        <w:ind w:left="426" w:hanging="284"/>
        <w:jc w:val="both"/>
        <w:outlineLvl w:val="1"/>
        <w:rPr>
          <w:rFonts w:ascii="Tahoma" w:eastAsia="UniversPro-Roman" w:hAnsi="Tahoma" w:cstheme="majorBidi"/>
          <w:sz w:val="20"/>
          <w:szCs w:val="26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 xml:space="preserve">Oferent zapewnia, w ramach środków własnych: </w:t>
      </w:r>
    </w:p>
    <w:p w:rsidR="00824888" w:rsidRPr="00824888" w:rsidRDefault="00824888" w:rsidP="00C44490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outlineLvl w:val="3"/>
        <w:rPr>
          <w:rFonts w:ascii="Tahoma" w:eastAsia="UniversPro-Roman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="UniversPro-Roman" w:hAnsi="Tahoma" w:cstheme="majorBidi"/>
          <w:iCs/>
          <w:sz w:val="20"/>
          <w:szCs w:val="20"/>
          <w:lang w:eastAsia="ar-SA"/>
        </w:rPr>
        <w:t xml:space="preserve">odpowiednią oprawę wydarzenia (w tym wynajem sprzętu nagłaśniającego, konferansjerów), </w:t>
      </w:r>
    </w:p>
    <w:p w:rsidR="00824888" w:rsidRPr="00824888" w:rsidRDefault="00824888" w:rsidP="00C44490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outlineLvl w:val="3"/>
        <w:rPr>
          <w:rFonts w:ascii="Tahoma" w:eastAsia="UniversPro-Roman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="UniversPro-Roman" w:hAnsi="Tahoma" w:cstheme="majorBidi"/>
          <w:iCs/>
          <w:sz w:val="20"/>
          <w:szCs w:val="20"/>
          <w:lang w:eastAsia="ar-SA"/>
        </w:rPr>
        <w:t>promocję wydarzenia (np. plakaty, banery, ulotki, artykuły prasowe),</w:t>
      </w:r>
    </w:p>
    <w:p w:rsidR="00824888" w:rsidRPr="00824888" w:rsidRDefault="00824888" w:rsidP="00C44490">
      <w:pPr>
        <w:numPr>
          <w:ilvl w:val="0"/>
          <w:numId w:val="34"/>
        </w:numPr>
        <w:suppressAutoHyphens/>
        <w:spacing w:after="0" w:line="360" w:lineRule="auto"/>
        <w:contextualSpacing/>
        <w:jc w:val="both"/>
        <w:outlineLvl w:val="3"/>
        <w:rPr>
          <w:rFonts w:ascii="Tahoma" w:eastAsia="UniversPro-Roman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="UniversPro-Roman" w:hAnsi="Tahoma" w:cstheme="majorBidi"/>
          <w:iCs/>
          <w:sz w:val="20"/>
          <w:szCs w:val="20"/>
          <w:lang w:eastAsia="ar-SA"/>
        </w:rPr>
        <w:t>opiekę medyczną.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after="0" w:line="360" w:lineRule="auto"/>
        <w:ind w:left="426" w:hanging="284"/>
        <w:jc w:val="both"/>
        <w:outlineLvl w:val="1"/>
        <w:rPr>
          <w:rFonts w:ascii="Tahoma" w:eastAsia="UniversPro-Roman" w:hAnsi="Tahoma" w:cstheme="majorBidi"/>
          <w:sz w:val="20"/>
          <w:szCs w:val="26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>Preferowane formy realizacji działań:</w:t>
      </w:r>
    </w:p>
    <w:p w:rsidR="00824888" w:rsidRPr="00824888" w:rsidRDefault="00824888" w:rsidP="00C44490">
      <w:pPr>
        <w:numPr>
          <w:ilvl w:val="0"/>
          <w:numId w:val="35"/>
        </w:numPr>
        <w:suppressAutoHyphens/>
        <w:spacing w:after="0" w:line="360" w:lineRule="auto"/>
        <w:contextualSpacing/>
        <w:jc w:val="both"/>
        <w:outlineLvl w:val="3"/>
        <w:rPr>
          <w:rFonts w:ascii="Tahoma" w:eastAsia="UniversPro-Roman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="UniversPro-Roman" w:hAnsi="Tahoma" w:cstheme="majorBidi"/>
          <w:iCs/>
          <w:sz w:val="20"/>
          <w:szCs w:val="20"/>
          <w:lang w:eastAsia="ar-SA"/>
        </w:rPr>
        <w:lastRenderedPageBreak/>
        <w:t>współpraca z mediami, wydawanie materiałów informacyjno-edukacyjnych, prowadzenie stron internetowych (portali informacyjnych), telefonów zaufania, itp.</w:t>
      </w:r>
    </w:p>
    <w:p w:rsidR="00824888" w:rsidRPr="00824888" w:rsidRDefault="00824888" w:rsidP="00C44490">
      <w:pPr>
        <w:numPr>
          <w:ilvl w:val="0"/>
          <w:numId w:val="35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="Tahoma"/>
          <w:iCs/>
          <w:sz w:val="20"/>
          <w:szCs w:val="20"/>
          <w:lang w:eastAsia="ar-SA"/>
        </w:rPr>
      </w:pPr>
      <w:r w:rsidRPr="00824888">
        <w:rPr>
          <w:rFonts w:ascii="Tahoma" w:eastAsia="UniversPro-Roman" w:hAnsi="Tahoma" w:cs="Tahoma"/>
          <w:iCs/>
          <w:sz w:val="20"/>
          <w:szCs w:val="20"/>
          <w:lang w:eastAsia="ar-SA"/>
        </w:rPr>
        <w:t>szkolenia, konferencje, warsztaty z wykorzystaniem</w:t>
      </w:r>
      <w:r w:rsidRPr="00824888">
        <w:rPr>
          <w:rFonts w:ascii="Tahoma" w:eastAsiaTheme="majorEastAsia" w:hAnsi="Tahoma" w:cs="Tahoma"/>
          <w:iCs/>
          <w:sz w:val="20"/>
          <w:szCs w:val="20"/>
          <w:lang w:eastAsia="ar-SA"/>
        </w:rPr>
        <w:t xml:space="preserve"> plakatów, publikacji poradników, ulotek, audiowizualnych środków komunikacji elektronicznej, itp.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after="0" w:line="360" w:lineRule="auto"/>
        <w:ind w:left="426" w:hanging="284"/>
        <w:jc w:val="both"/>
        <w:outlineLvl w:val="1"/>
        <w:rPr>
          <w:rFonts w:ascii="Tahoma" w:eastAsia="UniversPro-Roman" w:hAnsi="Tahoma" w:cstheme="majorBidi"/>
          <w:sz w:val="20"/>
          <w:szCs w:val="26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>Miejsca realizacji działań</w:t>
      </w:r>
    </w:p>
    <w:p w:rsidR="00824888" w:rsidRPr="00824888" w:rsidRDefault="00824888" w:rsidP="00C44490">
      <w:pPr>
        <w:suppressAutoHyphens/>
        <w:spacing w:after="0" w:line="360" w:lineRule="auto"/>
        <w:ind w:left="567"/>
        <w:contextualSpacing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824888">
        <w:rPr>
          <w:rFonts w:ascii="Tahoma" w:eastAsia="UniversPro-Roman" w:hAnsi="Tahoma" w:cs="Tahoma"/>
          <w:sz w:val="20"/>
          <w:szCs w:val="20"/>
          <w:lang w:eastAsia="ar-SA"/>
        </w:rPr>
        <w:t>Przestrzeń publiczna, tradycyjne i elektroniczne mass-media, media społecznościowe, szkoły, kluby, placówki wsparcia dziennego, młodzieżowe ośrodki socjoterapeutyczne, młodzieżowe ośrodki wychowawcze i inne miejsca integrujące lokalne społeczności.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after="0" w:line="360" w:lineRule="auto"/>
        <w:ind w:left="426" w:hanging="284"/>
        <w:contextualSpacing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>Zastrzega się możliwość wyboru więcej niż jednego realizatora zadania.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after="0" w:line="360" w:lineRule="auto"/>
        <w:ind w:left="426" w:hanging="284"/>
        <w:contextualSpacing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824888">
        <w:rPr>
          <w:rFonts w:ascii="Tahoma" w:eastAsia="UniversPro-Roman" w:hAnsi="Tahoma" w:cstheme="majorBidi"/>
          <w:sz w:val="20"/>
          <w:szCs w:val="26"/>
          <w:lang w:eastAsia="ar-SA"/>
        </w:rPr>
        <w:t>Podatek od towarów i usług (VAT)</w:t>
      </w:r>
    </w:p>
    <w:p w:rsidR="00824888" w:rsidRPr="00824888" w:rsidRDefault="00824888" w:rsidP="00C44490">
      <w:pPr>
        <w:keepNext/>
        <w:numPr>
          <w:ilvl w:val="0"/>
          <w:numId w:val="30"/>
        </w:numPr>
        <w:suppressAutoHyphens/>
        <w:spacing w:after="0" w:line="360" w:lineRule="auto"/>
        <w:jc w:val="both"/>
        <w:outlineLvl w:val="2"/>
        <w:rPr>
          <w:rFonts w:ascii="Tahoma" w:eastAsiaTheme="majorEastAsia" w:hAnsi="Tahoma" w:cstheme="majorBidi"/>
          <w:b/>
          <w:sz w:val="20"/>
          <w:szCs w:val="24"/>
          <w:u w:val="single"/>
          <w:lang w:eastAsia="ar-SA"/>
        </w:rPr>
      </w:pPr>
      <w:r w:rsidRPr="00824888">
        <w:rPr>
          <w:rFonts w:ascii="Tahoma" w:eastAsiaTheme="majorEastAsia" w:hAnsi="Tahoma" w:cstheme="majorBidi"/>
          <w:sz w:val="20"/>
          <w:szCs w:val="24"/>
          <w:lang w:eastAsia="ar-SA"/>
        </w:rPr>
        <w:t xml:space="preserve">W kosztorysie zadania należy uwzględnić wyłącznie koszty niezbędne dla realizacji tego zadania. Wydatki w ramach realizacji wniosku mogą obejmować koszty podatku od towarów i usług (VAT) </w:t>
      </w:r>
      <w:r w:rsidRPr="00824888">
        <w:rPr>
          <w:rFonts w:ascii="Tahoma" w:eastAsiaTheme="majorEastAsia" w:hAnsi="Tahoma" w:cstheme="majorBidi"/>
          <w:b/>
          <w:sz w:val="20"/>
          <w:szCs w:val="24"/>
          <w:u w:val="single"/>
          <w:lang w:eastAsia="ar-SA"/>
        </w:rPr>
        <w:t xml:space="preserve">tylko wtedy, gdy realizator zadania ich nie odzyska. </w:t>
      </w:r>
    </w:p>
    <w:p w:rsidR="00824888" w:rsidRPr="00824888" w:rsidRDefault="00824888" w:rsidP="00C44490">
      <w:pPr>
        <w:keepNext/>
        <w:numPr>
          <w:ilvl w:val="0"/>
          <w:numId w:val="30"/>
        </w:numPr>
        <w:suppressAutoHyphens/>
        <w:spacing w:after="0" w:line="360" w:lineRule="auto"/>
        <w:jc w:val="both"/>
        <w:outlineLvl w:val="2"/>
        <w:rPr>
          <w:rFonts w:ascii="Tahoma" w:eastAsiaTheme="majorEastAsia" w:hAnsi="Tahoma" w:cs="Tahoma"/>
          <w:sz w:val="20"/>
          <w:szCs w:val="20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0"/>
          <w:lang w:eastAsia="ar-SA"/>
        </w:rPr>
        <w:t>Oferent jest zobowiązany, na etapie składania oferty, do złożenia oświadczenia o kwalifikowalności VAT zgodnie ze wzorem określonym w załączniku do ogłoszenia. Oświadczenie o kwalifikowalności VAT podpisane przez oferenta będzie stanowić załącznik do zawieranej umowy na realizację zadania. Nie może w nim być uwzględniony podatek od towarów i usług (VAT) w wysokości, w której podatnikowi przysługuje prawo do jego odzyskania lub rozliczenia w deklaracjach składanych do Urzędu Skarbowego, przy czym:</w:t>
      </w:r>
    </w:p>
    <w:p w:rsidR="00824888" w:rsidRPr="00824888" w:rsidRDefault="00824888" w:rsidP="00C44490">
      <w:pPr>
        <w:keepNext/>
        <w:numPr>
          <w:ilvl w:val="0"/>
          <w:numId w:val="46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>podmioty, które nie mają prawnej możliwości odzyskania lub rozliczenia podatku VAT od towarów i usług związanych z realizacją zadania (dla których podatek VAT jest kosztem), sporządzają kosztorysy w kwotach brutto (łącznie z podatkiem VAT);</w:t>
      </w:r>
    </w:p>
    <w:p w:rsidR="00824888" w:rsidRPr="00824888" w:rsidRDefault="00824888" w:rsidP="00C44490">
      <w:pPr>
        <w:keepNext/>
        <w:numPr>
          <w:ilvl w:val="0"/>
          <w:numId w:val="46"/>
        </w:numPr>
        <w:suppressAutoHyphens/>
        <w:spacing w:after="0" w:line="360" w:lineRule="auto"/>
        <w:contextualSpacing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 xml:space="preserve">podmioty, które mają możliwość odzyskania lub rozliczenia podatku VAT od towarów </w:t>
      </w: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br/>
        <w:t>i usług związanych z realizacją zadania (w całości lub w części) — sporządzają kosztorysy w kwotach netto (tj. nie uwzględniają w nich kwot podatku VAT, które będą podlegały odzyskaniu lub rozliczeniu).</w:t>
      </w:r>
    </w:p>
    <w:p w:rsidR="00824888" w:rsidRPr="00824888" w:rsidRDefault="00824888" w:rsidP="00C44490">
      <w:pPr>
        <w:keepNext/>
        <w:numPr>
          <w:ilvl w:val="0"/>
          <w:numId w:val="30"/>
        </w:numPr>
        <w:suppressAutoHyphens/>
        <w:spacing w:after="0" w:line="360" w:lineRule="auto"/>
        <w:jc w:val="both"/>
        <w:outlineLvl w:val="2"/>
        <w:rPr>
          <w:rFonts w:ascii="Tahoma" w:eastAsiaTheme="majorEastAsia" w:hAnsi="Tahoma" w:cs="Tahoma"/>
          <w:sz w:val="20"/>
          <w:szCs w:val="20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0"/>
          <w:lang w:eastAsia="ar-SA"/>
        </w:rPr>
        <w:t>Możliwość odzyskania podatku VAT rozpatruje się w świetle przepisów ustawy z dnia 11 marca 2004 r. o podatku od towarów i usług. Badanie możliwości odzyskania podatku VAT należy wyłącznie do obowiązków oferenta.</w:t>
      </w:r>
    </w:p>
    <w:p w:rsidR="00824888" w:rsidRPr="00824888" w:rsidRDefault="00824888" w:rsidP="00C44490">
      <w:pPr>
        <w:keepNext/>
        <w:numPr>
          <w:ilvl w:val="0"/>
          <w:numId w:val="32"/>
        </w:numPr>
        <w:suppressAutoHyphens/>
        <w:spacing w:after="0" w:line="360" w:lineRule="auto"/>
        <w:ind w:left="426" w:hanging="284"/>
        <w:jc w:val="both"/>
        <w:outlineLvl w:val="1"/>
        <w:rPr>
          <w:rFonts w:ascii="Arial" w:eastAsia="UniversPro-Roman" w:hAnsi="Arial" w:cs="Times New Roman"/>
          <w:b/>
          <w:sz w:val="16"/>
          <w:szCs w:val="20"/>
          <w:lang w:eastAsia="ar-SA"/>
        </w:rPr>
      </w:pPr>
      <w:r w:rsidRPr="00824888">
        <w:rPr>
          <w:rFonts w:ascii="Tahoma" w:eastAsia="UniversPro-Roman" w:hAnsi="Tahoma" w:cstheme="majorBidi"/>
          <w:b/>
          <w:sz w:val="20"/>
          <w:szCs w:val="26"/>
          <w:lang w:eastAsia="ar-SA"/>
        </w:rPr>
        <w:t xml:space="preserve">Doświadczenie w realizacji przedsięwzięć podobnych do przedmiotu zadania, </w:t>
      </w:r>
      <w:r w:rsidRPr="00824888">
        <w:rPr>
          <w:rFonts w:ascii="Tahoma" w:eastAsia="UniversPro-Roman" w:hAnsi="Tahoma" w:cstheme="majorBidi"/>
          <w:b/>
          <w:sz w:val="20"/>
          <w:szCs w:val="26"/>
          <w:lang w:eastAsia="ar-SA"/>
        </w:rPr>
        <w:br/>
        <w:t xml:space="preserve">tj. wykazanie, że w ciągu ostatnich 3 lat przed upłynięciem terminu składania ofert, </w:t>
      </w:r>
      <w:r w:rsidRPr="00824888">
        <w:rPr>
          <w:rFonts w:ascii="Tahoma" w:eastAsia="UniversPro-Roman" w:hAnsi="Tahoma" w:cstheme="majorBidi"/>
          <w:b/>
          <w:sz w:val="20"/>
          <w:szCs w:val="26"/>
          <w:lang w:eastAsia="ar-SA"/>
        </w:rPr>
        <w:br/>
        <w:t>o którym mowa w części XIII.2 ogłoszenia, wykonał należycie co najmniej 1 działanie, o którym mowa w części III. ogłoszenia.</w:t>
      </w:r>
    </w:p>
    <w:p w:rsidR="00824888" w:rsidRPr="00824888" w:rsidRDefault="00824888" w:rsidP="00C44490">
      <w:pPr>
        <w:numPr>
          <w:ilvl w:val="0"/>
          <w:numId w:val="32"/>
        </w:numPr>
        <w:suppressAutoHyphens/>
        <w:spacing w:after="0" w:line="360" w:lineRule="auto"/>
        <w:ind w:left="426" w:hanging="284"/>
        <w:jc w:val="both"/>
        <w:outlineLvl w:val="1"/>
        <w:rPr>
          <w:rFonts w:ascii="Tahoma" w:eastAsia="UniversPro-Roman" w:hAnsi="Tahoma" w:cstheme="majorBidi"/>
          <w:sz w:val="20"/>
          <w:szCs w:val="26"/>
          <w:lang w:eastAsia="ar-SA"/>
        </w:rPr>
      </w:pPr>
      <w:r w:rsidRPr="00824888">
        <w:rPr>
          <w:rFonts w:ascii="Tahoma" w:eastAsia="UniversPro-Roman" w:hAnsi="Tahoma" w:cs="Tahoma"/>
          <w:sz w:val="20"/>
          <w:szCs w:val="26"/>
          <w:lang w:eastAsia="ar-SA"/>
        </w:rPr>
        <w:t xml:space="preserve"> Art. 4 ust. 1 pkt. 2 ustawy z 27 sierpnia 2009 r. o finansach publicznych nakłada obowiązek stosowania przepisów tej ustawy na podmioty spoza sektora finansów publicznych w zakresie, w jakim wykorzystują środki publiczne lub dysponują tymi środkami. Zgodnie z art. 44 ust. 3 ustawy o finansach publicznych, wydatki publiczne powinny być dokonywane: </w:t>
      </w:r>
    </w:p>
    <w:p w:rsidR="00824888" w:rsidRPr="00824888" w:rsidRDefault="00824888" w:rsidP="00C44490">
      <w:pPr>
        <w:numPr>
          <w:ilvl w:val="0"/>
          <w:numId w:val="31"/>
        </w:numPr>
        <w:suppressAutoHyphens/>
        <w:spacing w:after="0" w:line="360" w:lineRule="auto"/>
        <w:jc w:val="both"/>
        <w:outlineLvl w:val="2"/>
        <w:rPr>
          <w:rFonts w:ascii="Tahoma" w:eastAsiaTheme="majorEastAsia" w:hAnsi="Tahoma" w:cstheme="majorBidi"/>
          <w:sz w:val="20"/>
          <w:szCs w:val="24"/>
          <w:lang w:eastAsia="ar-SA"/>
        </w:rPr>
      </w:pPr>
      <w:r w:rsidRPr="00824888">
        <w:rPr>
          <w:rFonts w:ascii="Tahoma" w:eastAsiaTheme="majorEastAsia" w:hAnsi="Tahoma" w:cstheme="majorBidi"/>
          <w:sz w:val="20"/>
          <w:szCs w:val="24"/>
          <w:lang w:eastAsia="ar-SA"/>
        </w:rPr>
        <w:t xml:space="preserve">w sposób celowy i oszczędny, z zachowaniem zasad: </w:t>
      </w:r>
    </w:p>
    <w:p w:rsidR="00824888" w:rsidRPr="00824888" w:rsidRDefault="00824888" w:rsidP="00C44490">
      <w:pPr>
        <w:suppressAutoHyphens/>
        <w:spacing w:after="0" w:line="360" w:lineRule="auto"/>
        <w:ind w:left="1065" w:hanging="357"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 xml:space="preserve">- uzyskiwania najlepszych efektów z danych nakładów; </w:t>
      </w:r>
    </w:p>
    <w:p w:rsidR="00824888" w:rsidRPr="00824888" w:rsidRDefault="00824888" w:rsidP="00C44490">
      <w:pPr>
        <w:suppressAutoHyphens/>
        <w:spacing w:after="0" w:line="360" w:lineRule="auto"/>
        <w:ind w:left="1065" w:hanging="357"/>
        <w:jc w:val="both"/>
        <w:outlineLvl w:val="3"/>
        <w:rPr>
          <w:rFonts w:ascii="Tahoma" w:eastAsiaTheme="majorEastAsia" w:hAnsi="Tahoma" w:cstheme="majorBidi"/>
          <w:iCs/>
          <w:sz w:val="20"/>
          <w:szCs w:val="20"/>
          <w:lang w:eastAsia="ar-SA"/>
        </w:rPr>
      </w:pPr>
      <w:r w:rsidRPr="00824888">
        <w:rPr>
          <w:rFonts w:ascii="Tahoma" w:eastAsiaTheme="majorEastAsia" w:hAnsi="Tahoma" w:cstheme="majorBidi"/>
          <w:iCs/>
          <w:sz w:val="20"/>
          <w:szCs w:val="20"/>
          <w:lang w:eastAsia="ar-SA"/>
        </w:rPr>
        <w:t xml:space="preserve">- optymalnego doboru metod i środków służących osiągnięciu założonych celów; </w:t>
      </w:r>
    </w:p>
    <w:p w:rsidR="00824888" w:rsidRPr="00824888" w:rsidRDefault="00824888" w:rsidP="00C44490">
      <w:pPr>
        <w:numPr>
          <w:ilvl w:val="0"/>
          <w:numId w:val="31"/>
        </w:numPr>
        <w:suppressAutoHyphens/>
        <w:spacing w:after="0" w:line="360" w:lineRule="auto"/>
        <w:jc w:val="both"/>
        <w:outlineLvl w:val="2"/>
        <w:rPr>
          <w:rFonts w:ascii="Tahoma" w:eastAsiaTheme="majorEastAsia" w:hAnsi="Tahoma" w:cstheme="majorBidi"/>
          <w:sz w:val="20"/>
          <w:szCs w:val="24"/>
          <w:lang w:eastAsia="ar-SA"/>
        </w:rPr>
      </w:pPr>
      <w:r w:rsidRPr="00824888">
        <w:rPr>
          <w:rFonts w:ascii="Tahoma" w:eastAsiaTheme="majorEastAsia" w:hAnsi="Tahoma" w:cstheme="majorBidi"/>
          <w:sz w:val="20"/>
          <w:szCs w:val="24"/>
          <w:lang w:eastAsia="ar-SA"/>
        </w:rPr>
        <w:lastRenderedPageBreak/>
        <w:t xml:space="preserve">w sposób umożliwiający terminową realizację zadań; </w:t>
      </w:r>
    </w:p>
    <w:p w:rsidR="00824888" w:rsidRPr="00824888" w:rsidRDefault="00824888" w:rsidP="00C44490">
      <w:pPr>
        <w:keepNext/>
        <w:numPr>
          <w:ilvl w:val="0"/>
          <w:numId w:val="31"/>
        </w:numPr>
        <w:suppressAutoHyphens/>
        <w:spacing w:after="0" w:line="360" w:lineRule="auto"/>
        <w:jc w:val="both"/>
        <w:outlineLvl w:val="2"/>
        <w:rPr>
          <w:rFonts w:ascii="Tahoma" w:eastAsiaTheme="majorEastAsia" w:hAnsi="Tahoma" w:cstheme="majorBidi"/>
          <w:sz w:val="20"/>
          <w:szCs w:val="24"/>
          <w:lang w:eastAsia="ar-SA"/>
        </w:rPr>
      </w:pPr>
      <w:r w:rsidRPr="00824888">
        <w:rPr>
          <w:rFonts w:ascii="Tahoma" w:eastAsiaTheme="majorEastAsia" w:hAnsi="Tahoma" w:cstheme="majorBidi"/>
          <w:sz w:val="20"/>
          <w:szCs w:val="24"/>
          <w:lang w:eastAsia="ar-SA"/>
        </w:rPr>
        <w:t xml:space="preserve">w wysokości i terminach wynikających z wcześniej zaciągniętych zobowiązań. </w:t>
      </w:r>
    </w:p>
    <w:p w:rsidR="00824888" w:rsidRPr="00824888" w:rsidRDefault="00824888" w:rsidP="00C44490">
      <w:pPr>
        <w:keepNext/>
        <w:numPr>
          <w:ilvl w:val="0"/>
          <w:numId w:val="32"/>
        </w:numPr>
        <w:suppressAutoHyphens/>
        <w:spacing w:after="0" w:line="360" w:lineRule="auto"/>
        <w:ind w:left="426" w:hanging="284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="UniversPro-Roman" w:hAnsi="Tahoma" w:cs="Tahoma"/>
          <w:sz w:val="20"/>
          <w:szCs w:val="26"/>
          <w:lang w:eastAsia="ar-SA"/>
        </w:rPr>
        <w:t xml:space="preserve"> Osoby wchodzące w skład organu zarządzającego podmiotu niezaliczanego do sektora finansów publicznych, któremu przekazano do wykorzystania lub dysponowania środki publiczne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lub zarządzającego mieniem tych podmiotów podlegają odpowiedzialności za naruszenie dyscypliny finansów publicznych (art. 4 ust. 1 pkt 1 ustawy z dnia 17 grudnia 2004 r. o odpowiedzialności za naruszenie dyscypliny finansów publicznych).</w:t>
      </w:r>
    </w:p>
    <w:p w:rsidR="00824888" w:rsidRPr="00824888" w:rsidRDefault="00824888" w:rsidP="00C44490">
      <w:pPr>
        <w:keepNext/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</w:p>
    <w:p w:rsidR="00824888" w:rsidRPr="00824888" w:rsidRDefault="00824888" w:rsidP="00C44490">
      <w:pPr>
        <w:suppressAutoHyphens/>
        <w:spacing w:after="0" w:line="360" w:lineRule="auto"/>
        <w:jc w:val="both"/>
        <w:outlineLvl w:val="1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VIII. </w:t>
      </w: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Wymagane dokumenty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Wypełniony druk oferty.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Aktualny odpis z odpowiedniego rejestru lub inne dokumenty informujące o statusie prawnym podmiotu składającego ofertę i umocowaniu osób go reprezentujących, natomiast w przypadku ofert składanych przez jednostki samorządu terytorialnego należy dołączyć odpowiednio: zaświadczenie o wyborze wójta/burmistrza/prezydenta miasta lub uchwałę Rady Powiatu o wyborze starosty.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Oświadczenie potwierdzające, że w stosunku do podmiotu składającego ofertę, nie stwierdzono niezgodnego z przeznaczeniem wykorzystania środków publicznych i prywatnych.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Oświadczenie osoby uprawnionej do reprezentowania podmiotu składającego ofertę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br/>
        <w:t>o niekaralności zakazem pełnienia funkcji związanych z dysponowaniem środkami publicznymi oraz niekaralności za umyślne przestępstwo lub umyślne przestępstwo skarbowe.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Oświadczenie o kwalifikowalności VAT zgodnie ze wzorem określonym w załączniku do ogłoszenia.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Klauzula informacyjna dotycząca przetwarzania danych osobowych wskazanych w ofercie, </w:t>
      </w:r>
      <w:r w:rsidRPr="00824888">
        <w:rPr>
          <w:rFonts w:ascii="Tahoma" w:eastAsiaTheme="majorEastAsia" w:hAnsi="Tahoma" w:cs="Tahoma"/>
          <w:sz w:val="20"/>
          <w:szCs w:val="26"/>
          <w:u w:val="single"/>
          <w:lang w:eastAsia="ar-SA"/>
        </w:rPr>
        <w:t>uzupełniona odrębnie przez wszystkie osoby biorące udział w zadaniu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(tj. osoby podpisujące ofertę, realizujące zadania ujęte w ofercie, wykonujące rozliczenie oferty). 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Druk oświadczeń, o których mowa w </w:t>
      </w:r>
      <w:proofErr w:type="spellStart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ppkt</w:t>
      </w:r>
      <w:proofErr w:type="spellEnd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3) – 9) stanowi załącznik  do ogłoszenia.</w:t>
      </w:r>
    </w:p>
    <w:p w:rsidR="00824888" w:rsidRPr="00824888" w:rsidRDefault="00824888" w:rsidP="00C44490">
      <w:pPr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W przypadku składania oferty wspólnej każdy z podmiotów zobowiązany jest do złożenia dokumentów wymienionych w </w:t>
      </w:r>
      <w:proofErr w:type="spellStart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ppkt</w:t>
      </w:r>
      <w:proofErr w:type="spellEnd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. 2-9, a ponadto należy przedstawić kopię porozumienia, która określa:</w:t>
      </w:r>
    </w:p>
    <w:p w:rsidR="00824888" w:rsidRPr="00824888" w:rsidRDefault="00824888" w:rsidP="00C44490">
      <w:pPr>
        <w:numPr>
          <w:ilvl w:val="0"/>
          <w:numId w:val="45"/>
        </w:numPr>
        <w:suppressAutoHyphens/>
        <w:spacing w:after="0" w:line="360" w:lineRule="auto"/>
        <w:contextualSpacing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zakres wykonywanych zadań oraz zasad wspólnego zarządzania projektem, w tym zarządzania finansowego; </w:t>
      </w:r>
    </w:p>
    <w:p w:rsidR="00824888" w:rsidRPr="00824888" w:rsidRDefault="00824888" w:rsidP="00C44490">
      <w:pPr>
        <w:numPr>
          <w:ilvl w:val="0"/>
          <w:numId w:val="45"/>
        </w:numPr>
        <w:suppressAutoHyphens/>
        <w:spacing w:after="0" w:line="360" w:lineRule="auto"/>
        <w:contextualSpacing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podział zadań i ich wykonywania, które w ramach realizacji zadania będą wykonywać poszczególne podmioty; </w:t>
      </w:r>
    </w:p>
    <w:p w:rsidR="00824888" w:rsidRPr="00824888" w:rsidRDefault="00824888" w:rsidP="00C44490">
      <w:pPr>
        <w:numPr>
          <w:ilvl w:val="0"/>
          <w:numId w:val="45"/>
        </w:numPr>
        <w:suppressAutoHyphens/>
        <w:spacing w:after="0" w:line="360" w:lineRule="auto"/>
        <w:contextualSpacing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sposób reprezentacji podmiotów wobec organu zlecającego realizację zadania; </w:t>
      </w:r>
    </w:p>
    <w:p w:rsidR="00824888" w:rsidRPr="00824888" w:rsidRDefault="00824888" w:rsidP="00C44490">
      <w:pPr>
        <w:numPr>
          <w:ilvl w:val="0"/>
          <w:numId w:val="45"/>
        </w:numPr>
        <w:suppressAutoHyphens/>
        <w:spacing w:after="0" w:line="360" w:lineRule="auto"/>
        <w:contextualSpacing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lastRenderedPageBreak/>
        <w:t>zobowiązanie podmiotów składających ofertę wspólną do ponoszenia odpowiedzialności solidarnej za wykonanie zobowiązań wynikających z realizacji zadania.</w:t>
      </w:r>
    </w:p>
    <w:p w:rsidR="00824888" w:rsidRPr="00824888" w:rsidRDefault="00824888" w:rsidP="00C44490">
      <w:pPr>
        <w:suppressAutoHyphens/>
        <w:spacing w:after="0" w:line="360" w:lineRule="auto"/>
        <w:ind w:left="720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Podmioty składające ofertę wspólną ponoszą odpowiedzialność solidarną za zobowiązania. </w:t>
      </w:r>
    </w:p>
    <w:p w:rsidR="00824888" w:rsidRPr="00824888" w:rsidRDefault="00824888" w:rsidP="00C44490">
      <w:pPr>
        <w:keepNext/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824888" w:rsidRPr="00824888" w:rsidRDefault="00824888" w:rsidP="00C44490">
      <w:pPr>
        <w:keepNext/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u w:val="single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u w:val="single"/>
          <w:lang w:eastAsia="ar-SA"/>
        </w:rPr>
        <w:t xml:space="preserve">Podpisy pod ofertą, dołączonymi załącznikami i oświadczeniami składa/ją osoba/osoby uprawniona/e lub upoważniona/e do reprezentowania Oferenta, składania oświadczeń woli i zaciągania w jego imieniu zobowiązań finansowych, zgodnie z zapisami statutu/regulaminu organizacyjnego, zapisami Krajowego Rejestru Sądowego, innego rejestru lub innych dokumentów potwierdzających umocowanie reprezentujących go osób. </w:t>
      </w:r>
    </w:p>
    <w:p w:rsidR="00824888" w:rsidRPr="00824888" w:rsidRDefault="00824888" w:rsidP="00C44490">
      <w:pPr>
        <w:keepNext/>
        <w:numPr>
          <w:ilvl w:val="0"/>
          <w:numId w:val="3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Oferta powinna zostać opatrzona pieczęcią firmową Oferenta. Wszystkie złożone własnoręcznie podpisy oraz pieczątki muszą być czytelne. W razie zaistnienia zmian upoważnień w trakcie procedury wyłaniania wniosku do realizacji, należy niezwłocznie, w formie pisemnej, poinformować o tym fakcie Dyrektora Departamentu Zdrowia. </w:t>
      </w:r>
    </w:p>
    <w:p w:rsidR="00824888" w:rsidRPr="00824888" w:rsidRDefault="00824888" w:rsidP="00C44490">
      <w:pPr>
        <w:keepNext/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</w:p>
    <w:p w:rsidR="00824888" w:rsidRPr="00824888" w:rsidRDefault="00824888" w:rsidP="00C44490">
      <w:pPr>
        <w:keepNext/>
        <w:suppressAutoHyphens/>
        <w:spacing w:after="0" w:line="360" w:lineRule="auto"/>
        <w:jc w:val="both"/>
        <w:outlineLvl w:val="1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IX. </w:t>
      </w: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Kryteria oceny ofert</w:t>
      </w:r>
    </w:p>
    <w:p w:rsidR="00824888" w:rsidRPr="00824888" w:rsidRDefault="00824888" w:rsidP="00C44490">
      <w:pPr>
        <w:keepNext/>
        <w:numPr>
          <w:ilvl w:val="0"/>
          <w:numId w:val="3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Rozpatrywane będą wyłącznie oferty złożone w terminie wskazanym w ogłoszeniu.</w:t>
      </w:r>
    </w:p>
    <w:p w:rsidR="00824888" w:rsidRPr="00824888" w:rsidRDefault="00824888" w:rsidP="00C44490">
      <w:pPr>
        <w:keepNext/>
        <w:numPr>
          <w:ilvl w:val="0"/>
          <w:numId w:val="3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824888" w:rsidRPr="00824888" w:rsidRDefault="00824888" w:rsidP="00C44490">
      <w:pPr>
        <w:numPr>
          <w:ilvl w:val="0"/>
          <w:numId w:val="3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Wszystkie złożone oferty wraz z załączoną do nich dokumentacją pozostaną w aktach Departamentu Zdrowia i nie będą odsyłane.</w:t>
      </w:r>
    </w:p>
    <w:p w:rsidR="00824888" w:rsidRPr="00824888" w:rsidRDefault="00824888" w:rsidP="00C44490">
      <w:pPr>
        <w:numPr>
          <w:ilvl w:val="0"/>
          <w:numId w:val="3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>Kryteria formalne</w:t>
      </w:r>
    </w:p>
    <w:p w:rsidR="00824888" w:rsidRPr="00824888" w:rsidRDefault="00824888" w:rsidP="00C44490">
      <w:pPr>
        <w:suppressAutoHyphens/>
        <w:spacing w:after="0" w:line="360" w:lineRule="auto"/>
        <w:ind w:firstLine="708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Ocena formalna polega na analizie kompletności oraz poprawności formalnej oferty. </w:t>
      </w:r>
    </w:p>
    <w:p w:rsidR="00824888" w:rsidRPr="00824888" w:rsidRDefault="00824888" w:rsidP="00C44490">
      <w:pPr>
        <w:numPr>
          <w:ilvl w:val="0"/>
          <w:numId w:val="38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Weryfikacja formalna i merytoryczna ofert dokonywana będzie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przez Departament Zdrowia. </w:t>
      </w:r>
    </w:p>
    <w:p w:rsidR="00824888" w:rsidRPr="00824888" w:rsidRDefault="00824888" w:rsidP="00C44490">
      <w:pPr>
        <w:numPr>
          <w:ilvl w:val="0"/>
          <w:numId w:val="38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W przypadku wystąpienia jakichkolwiek braków lub niejasności, co do treści złożonej dokumentacji oferent wezwany zostanie do złożenia wyjaśnień lub uzupełnienia oferty, 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>w terminie 5 dni roboczych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od dnia otrzymania wezwania, a w przypadku braków formalnych, pod rygorem pozostawienia oferty bez rozpoznania.</w:t>
      </w:r>
    </w:p>
    <w:p w:rsidR="00824888" w:rsidRPr="00824888" w:rsidRDefault="00824888" w:rsidP="00C44490">
      <w:pPr>
        <w:numPr>
          <w:ilvl w:val="0"/>
          <w:numId w:val="38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Oferent powinien uzupełnić braki w formie pisemnej. Wezwanie może zostać doręczone pocztą elektroniczną lub za pośrednictwem placówki pocztowej. W sytuacji gdy wezwanie zostanie doręczone w formie elektronicznej, podmiot jest zobowiązany potwierdzić jego otrzymanie.</w:t>
      </w:r>
    </w:p>
    <w:p w:rsidR="00824888" w:rsidRPr="00824888" w:rsidRDefault="00824888" w:rsidP="00C44490">
      <w:pPr>
        <w:numPr>
          <w:ilvl w:val="0"/>
          <w:numId w:val="38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:rsidR="00824888" w:rsidRPr="00824888" w:rsidRDefault="00824888" w:rsidP="00C44490">
      <w:pPr>
        <w:numPr>
          <w:ilvl w:val="0"/>
          <w:numId w:val="38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Oferta zostaje odrzucona na etapie analizy formalnej i nie zostaje skierowana do dalszej oceny merytorycznej w następujących przypadkach: </w:t>
      </w:r>
    </w:p>
    <w:p w:rsidR="00824888" w:rsidRPr="00824888" w:rsidRDefault="00824888" w:rsidP="00C44490">
      <w:pPr>
        <w:suppressAutoHyphens/>
        <w:spacing w:after="0" w:line="360" w:lineRule="auto"/>
        <w:ind w:firstLine="708"/>
        <w:jc w:val="both"/>
        <w:outlineLvl w:val="1"/>
        <w:rPr>
          <w:rFonts w:ascii="Tahoma" w:eastAsiaTheme="majorEastAsia" w:hAnsi="Tahoma" w:cs="Tahoma"/>
          <w:iCs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iCs/>
          <w:sz w:val="20"/>
          <w:szCs w:val="26"/>
          <w:lang w:eastAsia="ar-SA"/>
        </w:rPr>
        <w:lastRenderedPageBreak/>
        <w:t xml:space="preserve">- złożenia oferty z naruszeniem terminu podanego w ogłoszeniu o konkursie, </w:t>
      </w:r>
    </w:p>
    <w:p w:rsidR="00824888" w:rsidRPr="00824888" w:rsidRDefault="00824888" w:rsidP="00C44490">
      <w:pPr>
        <w:suppressAutoHyphens/>
        <w:spacing w:after="0" w:line="360" w:lineRule="auto"/>
        <w:ind w:firstLine="708"/>
        <w:jc w:val="both"/>
        <w:outlineLvl w:val="1"/>
        <w:rPr>
          <w:rFonts w:ascii="Tahoma" w:eastAsiaTheme="majorEastAsia" w:hAnsi="Tahoma" w:cs="Tahoma"/>
          <w:iCs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iCs/>
          <w:sz w:val="20"/>
          <w:szCs w:val="26"/>
          <w:lang w:eastAsia="ar-SA"/>
        </w:rPr>
        <w:t xml:space="preserve">- złożenia oferty przez podmiot nieuprawniony do udziału w konkursie, </w:t>
      </w:r>
    </w:p>
    <w:p w:rsidR="00824888" w:rsidRPr="00824888" w:rsidRDefault="00824888" w:rsidP="00C44490">
      <w:pPr>
        <w:suppressAutoHyphens/>
        <w:spacing w:after="0" w:line="360" w:lineRule="auto"/>
        <w:ind w:firstLine="708"/>
        <w:jc w:val="both"/>
        <w:outlineLvl w:val="1"/>
        <w:rPr>
          <w:rFonts w:ascii="Tahoma" w:eastAsiaTheme="majorEastAsia" w:hAnsi="Tahoma" w:cs="Tahoma"/>
          <w:iCs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iCs/>
          <w:sz w:val="20"/>
          <w:szCs w:val="26"/>
          <w:lang w:eastAsia="ar-SA"/>
        </w:rPr>
        <w:t xml:space="preserve">- nieusunięcia w wyznaczonym terminie braków formalnych. </w:t>
      </w:r>
    </w:p>
    <w:p w:rsidR="00824888" w:rsidRPr="00824888" w:rsidRDefault="00824888" w:rsidP="00C44490">
      <w:pPr>
        <w:numPr>
          <w:ilvl w:val="0"/>
          <w:numId w:val="3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Kryteria merytoryczne </w:t>
      </w:r>
    </w:p>
    <w:p w:rsidR="00824888" w:rsidRPr="00824888" w:rsidRDefault="00824888" w:rsidP="00C44490">
      <w:pPr>
        <w:numPr>
          <w:ilvl w:val="0"/>
          <w:numId w:val="39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Ocena merytoryczna ofert, spełniających wymogi formalne, dokonywana będzie przez Komisję Konkursową powołaną przez Zarząd Województwa Wielkopolskiego.</w:t>
      </w:r>
    </w:p>
    <w:p w:rsidR="00824888" w:rsidRPr="00824888" w:rsidRDefault="00824888" w:rsidP="00C44490">
      <w:p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u w:val="single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u w:val="single"/>
          <w:lang w:eastAsia="ar-SA"/>
        </w:rPr>
        <w:t>Kryteria oceny merytorycznej, z podziałem na:</w:t>
      </w:r>
    </w:p>
    <w:p w:rsidR="00824888" w:rsidRPr="00824888" w:rsidRDefault="00824888" w:rsidP="00C44490">
      <w:pPr>
        <w:numPr>
          <w:ilvl w:val="0"/>
          <w:numId w:val="2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Merytoryczne – 50 pkt. (waga: 70%/100%):</w:t>
      </w:r>
    </w:p>
    <w:p w:rsidR="00824888" w:rsidRPr="00824888" w:rsidRDefault="00824888" w:rsidP="00C44490">
      <w:pPr>
        <w:numPr>
          <w:ilvl w:val="0"/>
          <w:numId w:val="21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koncepcja planowanych działań – zgodność oferty z ogłoszeniem konkursowym;</w:t>
      </w:r>
    </w:p>
    <w:p w:rsidR="00824888" w:rsidRPr="00824888" w:rsidRDefault="00824888" w:rsidP="00C44490">
      <w:pPr>
        <w:numPr>
          <w:ilvl w:val="0"/>
          <w:numId w:val="21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jakość oferty (w tym m.in.: spójność poszczególnych elementów oferty, adekwatność wnioskowanej kwoty dotacji do zakresu podejmowanych działań – racjonalność wydatków w świetle przedstawionego kosztorysu);</w:t>
      </w:r>
    </w:p>
    <w:p w:rsidR="00824888" w:rsidRPr="00824888" w:rsidRDefault="00824888" w:rsidP="00C44490">
      <w:pPr>
        <w:numPr>
          <w:ilvl w:val="0"/>
          <w:numId w:val="21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atrakcyjność i różnorodność planowanych działań w ramach realizacji zadania;</w:t>
      </w:r>
    </w:p>
    <w:p w:rsidR="00824888" w:rsidRPr="00824888" w:rsidRDefault="00824888" w:rsidP="00C44490">
      <w:pPr>
        <w:numPr>
          <w:ilvl w:val="0"/>
          <w:numId w:val="21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przewidywane efekty realizacji zadania, w tym czas trwania działania oraz przewidywana liczba uczestników zadania.</w:t>
      </w:r>
    </w:p>
    <w:p w:rsidR="00824888" w:rsidRPr="00824888" w:rsidRDefault="00824888" w:rsidP="00C44490">
      <w:pPr>
        <w:numPr>
          <w:ilvl w:val="0"/>
          <w:numId w:val="2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Organizacyjne – 50 pkt. (waga: 30%/100%):</w:t>
      </w:r>
    </w:p>
    <w:p w:rsidR="00824888" w:rsidRPr="00824888" w:rsidRDefault="00824888" w:rsidP="00C44490">
      <w:pPr>
        <w:numPr>
          <w:ilvl w:val="0"/>
          <w:numId w:val="22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iCs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zasoby kadrowe przewidywane do wykorzystania przy realizacji zadania;</w:t>
      </w:r>
    </w:p>
    <w:p w:rsidR="00824888" w:rsidRPr="00824888" w:rsidRDefault="00824888" w:rsidP="00C44490">
      <w:pPr>
        <w:numPr>
          <w:ilvl w:val="0"/>
          <w:numId w:val="22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doświadczenie oferenta w zakresie adekwatnym do treści zadania będącego przedmiotem konkursu.</w:t>
      </w:r>
    </w:p>
    <w:p w:rsidR="00824888" w:rsidRPr="00824888" w:rsidRDefault="00824888" w:rsidP="00C44490">
      <w:pPr>
        <w:numPr>
          <w:ilvl w:val="0"/>
          <w:numId w:val="22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rzetelność, terminowość oraz sposób rozliczania otrzymanych środków na realizację zadań publicznych zlecanych w latach poprzednich przez Województwo Wielkopolskie (dotychczasowa współpraca za lata 2019-2021),</w:t>
      </w:r>
    </w:p>
    <w:p w:rsidR="00824888" w:rsidRPr="00824888" w:rsidRDefault="00824888" w:rsidP="00C44490">
      <w:pPr>
        <w:numPr>
          <w:ilvl w:val="0"/>
          <w:numId w:val="22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udział środków własnych.</w:t>
      </w:r>
    </w:p>
    <w:p w:rsidR="00824888" w:rsidRPr="00824888" w:rsidRDefault="00824888" w:rsidP="00C44490">
      <w:pPr>
        <w:numPr>
          <w:ilvl w:val="0"/>
          <w:numId w:val="39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Maksymalna liczba punktów możliwych do zdobycia w zakresie spełniania kryteriów merytorycznych wynosi 100 pkt.</w:t>
      </w:r>
    </w:p>
    <w:p w:rsidR="00824888" w:rsidRPr="00824888" w:rsidRDefault="00824888" w:rsidP="00C44490">
      <w:pPr>
        <w:numPr>
          <w:ilvl w:val="0"/>
          <w:numId w:val="39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Ostateczna liczba punktów to średnia sumy przyznanych punktów przez poszczególnych członków Komisji.</w:t>
      </w:r>
    </w:p>
    <w:p w:rsidR="00824888" w:rsidRPr="00824888" w:rsidRDefault="00824888" w:rsidP="00C44490">
      <w:pPr>
        <w:numPr>
          <w:ilvl w:val="0"/>
          <w:numId w:val="39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Oferty, które uzyskają poniżej 50 punktów nie uzyskają dofinansowania.</w:t>
      </w:r>
    </w:p>
    <w:p w:rsidR="00824888" w:rsidRPr="00824888" w:rsidRDefault="00824888" w:rsidP="00C44490">
      <w:pPr>
        <w:numPr>
          <w:ilvl w:val="0"/>
          <w:numId w:val="39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Przekroczenie progu, o którym mowa powyżej, nie jest jednoznaczne z przyznaniem dotacji.</w:t>
      </w:r>
    </w:p>
    <w:p w:rsidR="00824888" w:rsidRPr="00824888" w:rsidRDefault="00824888" w:rsidP="00C44490">
      <w:p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</w:p>
    <w:p w:rsidR="00824888" w:rsidRPr="00824888" w:rsidRDefault="00824888" w:rsidP="00C44490">
      <w:p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X. </w:t>
      </w: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Zasady przyznania dotacji oraz pozostałe informacje dotyczące realizacji zadania</w:t>
      </w:r>
    </w:p>
    <w:p w:rsidR="00824888" w:rsidRPr="00824888" w:rsidRDefault="00824888" w:rsidP="00C44490">
      <w:pPr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Uzyskanie dotacji na poziomie niższym niż kwota wnioskowana, uprawnia do zmniejszenia kosztu całkowitego zadania.</w:t>
      </w:r>
    </w:p>
    <w:p w:rsidR="00824888" w:rsidRPr="00824888" w:rsidRDefault="00824888" w:rsidP="00C44490">
      <w:pPr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Szczegółowe warunki realizacji zadania określi umowa na realizację zadania.</w:t>
      </w:r>
    </w:p>
    <w:p w:rsidR="00824888" w:rsidRPr="00824888" w:rsidRDefault="00824888" w:rsidP="00C44490">
      <w:pPr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Ze środków przyznanej dotacji nie mogą być pokrywane koszty realizacji zadania, poniesione przed dniem podpisania umowy. </w:t>
      </w:r>
    </w:p>
    <w:p w:rsidR="00824888" w:rsidRPr="00824888" w:rsidRDefault="00824888" w:rsidP="00C44490">
      <w:pPr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Oferent ma obowiązek ujawniania wszelkich dochodów / przychodów, które powstaną w związku z realizacją zadania, a nie zostały przewidziane w ofercie. </w:t>
      </w:r>
    </w:p>
    <w:p w:rsidR="00824888" w:rsidRPr="00824888" w:rsidRDefault="00824888" w:rsidP="00C44490">
      <w:pPr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Dopuszcza się wydatkowanie uzyskanych przychodów, w tym także odsetek bankowych od przekazanych środków finansowych na podstawie niniejszego postępowania konkursowego, na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lastRenderedPageBreak/>
        <w:t>realizację zadania, wyłącznie na zasadach określonych w umowie. Niewykorzystane przychody podlegają zwrotowi.</w:t>
      </w:r>
    </w:p>
    <w:p w:rsidR="00824888" w:rsidRPr="00824888" w:rsidRDefault="00824888" w:rsidP="00C44490">
      <w:pPr>
        <w:keepNext/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Oferent może wskazać, które z informacji zawartych w ofercie stanowią tajemnicę przedsiębiorcy w rozumieniu art. 5 ustawy z dnia 6 września 2001 r. o dostępie do informacji publicznej i podlegają wyłączeniu od udostępniania innym podmiotom. </w:t>
      </w:r>
    </w:p>
    <w:p w:rsidR="00824888" w:rsidRPr="00824888" w:rsidRDefault="00824888" w:rsidP="00C44490">
      <w:pPr>
        <w:keepNext/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Oferent, któremu zostaną przyznane środki na dofinansowanie realizacji zadania, zobowiązany jest do 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>założenia wydzielonego rachunku bankowego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, przeznaczonego do rozliczeń związanych z zadaniem (dotyczy dotacji oraz środków własnych).</w:t>
      </w:r>
    </w:p>
    <w:p w:rsidR="00824888" w:rsidRPr="00824888" w:rsidRDefault="00824888" w:rsidP="00C44490">
      <w:pPr>
        <w:keepNext/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Wszelkie materiały wytworzone w wyniku realizacji zadania będą zawierały:</w:t>
      </w:r>
    </w:p>
    <w:p w:rsidR="00824888" w:rsidRPr="00824888" w:rsidRDefault="00824888" w:rsidP="00C44490">
      <w:pPr>
        <w:keepNext/>
        <w:numPr>
          <w:ilvl w:val="0"/>
          <w:numId w:val="41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znak graficzny Województwa Wielkopolskiego: 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>Herb Województwa Wielkopolskiego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oraz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 Logotyp.</w:t>
      </w:r>
    </w:p>
    <w:p w:rsidR="00824888" w:rsidRPr="00824888" w:rsidRDefault="00824888" w:rsidP="00C44490">
      <w:pPr>
        <w:keepNext/>
        <w:numPr>
          <w:ilvl w:val="0"/>
          <w:numId w:val="41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informację o treści: 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>„Projekt współfinansowany przez Samorząd Województwa Wielkopolskiego”,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proporcjonalnie do wielkości innych oznaczeń, w sposób zapewniający jego dobrą widoczność.</w:t>
      </w:r>
    </w:p>
    <w:p w:rsidR="00824888" w:rsidRPr="00824888" w:rsidRDefault="00824888" w:rsidP="00C44490">
      <w:pPr>
        <w:keepNext/>
        <w:suppressAutoHyphens/>
        <w:spacing w:after="0" w:line="360" w:lineRule="auto"/>
        <w:ind w:left="708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Herb Województwa Wielkopolskiego i logotyp w wersji elektronicznej jest dostępny  do pobrania ze strony internetowej Urzędu Marszałkowskiego Województwa Wielkopolskiego w Poznaniu pod adresem: </w:t>
      </w:r>
      <w:hyperlink r:id="rId9" w:history="1">
        <w:r w:rsidRPr="00824888">
          <w:rPr>
            <w:rFonts w:ascii="Tahoma" w:eastAsiaTheme="majorEastAsia" w:hAnsi="Tahoma" w:cs="Tahoma"/>
            <w:color w:val="0000FF"/>
            <w:sz w:val="20"/>
            <w:szCs w:val="26"/>
            <w:u w:val="single"/>
            <w:lang w:eastAsia="ar-SA"/>
          </w:rPr>
          <w:t>www.umww.pl</w:t>
        </w:r>
      </w:hyperlink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.</w:t>
      </w:r>
    </w:p>
    <w:p w:rsidR="00824888" w:rsidRPr="00824888" w:rsidRDefault="00824888" w:rsidP="00C44490">
      <w:pPr>
        <w:keepNext/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Departament Zdrowia zastrzega sobie możliwość wnoszenia uwag na każdym etapie realizacji zadania oraz poddania recenzji wytworzonych materiałów i ich ostatecznej akceptacji. Projekty przekazywane będą do akceptacji w wersji elektronicznej.</w:t>
      </w:r>
    </w:p>
    <w:p w:rsidR="00824888" w:rsidRPr="00824888" w:rsidRDefault="00824888" w:rsidP="00C44490">
      <w:pPr>
        <w:keepNext/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:rsidR="00824888" w:rsidRPr="00824888" w:rsidRDefault="00824888" w:rsidP="00C44490">
      <w:pPr>
        <w:keepNext/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824888" w:rsidRPr="00824888" w:rsidRDefault="00824888" w:rsidP="00C44490">
      <w:pPr>
        <w:keepNext/>
        <w:numPr>
          <w:ilvl w:val="0"/>
          <w:numId w:val="40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u w:val="single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u w:val="single"/>
          <w:lang w:eastAsia="ar-SA"/>
        </w:rPr>
        <w:t xml:space="preserve">Zastrzega się możliwość unieważnienia konkursu w formie uchwały Zarządu Województwa Wielkopolskiego w przypadku wystąpienia okoliczności nieprzewidzianych na etapie ogłaszania konkursu. </w:t>
      </w:r>
    </w:p>
    <w:p w:rsidR="00824888" w:rsidRPr="00824888" w:rsidRDefault="00824888" w:rsidP="00C44490">
      <w:pPr>
        <w:keepNext/>
        <w:suppressAutoHyphens/>
        <w:spacing w:after="0" w:line="360" w:lineRule="auto"/>
        <w:ind w:left="720"/>
        <w:jc w:val="both"/>
        <w:outlineLvl w:val="1"/>
        <w:rPr>
          <w:rFonts w:ascii="Tahoma" w:eastAsiaTheme="majorEastAsia" w:hAnsi="Tahoma" w:cs="Tahoma"/>
          <w:sz w:val="20"/>
          <w:szCs w:val="26"/>
          <w:u w:val="single"/>
          <w:lang w:eastAsia="ar-SA"/>
        </w:rPr>
      </w:pPr>
    </w:p>
    <w:p w:rsidR="00824888" w:rsidRPr="00824888" w:rsidRDefault="00824888" w:rsidP="00C44490">
      <w:p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XI. </w:t>
      </w: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Zapewnienie dostępności osobom ze szczególnymi potrzebami</w:t>
      </w:r>
    </w:p>
    <w:p w:rsidR="00824888" w:rsidRPr="00824888" w:rsidRDefault="00824888" w:rsidP="00C44490">
      <w:pPr>
        <w:numPr>
          <w:ilvl w:val="0"/>
          <w:numId w:val="42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Podmiot składający ofertę w konkursie zobowiązany jest od dnia 13 maja 2024 roku do zapewnienia dostępności architektonicznej, cyfrowej oraz informacyjno-komunikacyjnej, osobom ze szczególnymi potrzebami, co najmniej w zakresie określonym przez minimalne wymagania, o których mowa w art. 6 ustawy z dnia 19 lipca 2019 r. o zapewnieniu dostępności osobom ze szczególnymi potrzebami. Zapewnienie dostępności osobom ze szczególnymi potrzebami następuje, o ile jest to możliwe, z uwzględnieniem uniwersalnego projektowania.</w:t>
      </w:r>
    </w:p>
    <w:p w:rsidR="00824888" w:rsidRPr="00824888" w:rsidRDefault="00824888" w:rsidP="00C44490">
      <w:pPr>
        <w:numPr>
          <w:ilvl w:val="0"/>
          <w:numId w:val="42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Obowiązek, o którym mowa w ust. 1, dotyczy ofert obejmujących zadania publiczne rozpoczynające się od dnia 13 maja 2024 roku, trwające w dniu 13 maja 2024 roku lub rozpoczynające się po dniu 13 maja 2024 roku.</w:t>
      </w:r>
    </w:p>
    <w:p w:rsidR="00824888" w:rsidRPr="00824888" w:rsidRDefault="00824888" w:rsidP="00C44490">
      <w:pPr>
        <w:keepNext/>
        <w:suppressAutoHyphens/>
        <w:spacing w:after="0" w:line="360" w:lineRule="auto"/>
        <w:ind w:left="720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</w:p>
    <w:p w:rsidR="00824888" w:rsidRPr="00824888" w:rsidRDefault="00824888" w:rsidP="00C44490">
      <w:pPr>
        <w:keepNext/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XII. </w:t>
      </w: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Informacje o przetwarzaniu danych osobowych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 </w:t>
      </w:r>
    </w:p>
    <w:p w:rsidR="00824888" w:rsidRPr="00824888" w:rsidRDefault="00824888" w:rsidP="00C44490">
      <w:pPr>
        <w:keepNext/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Administratorem danych osobowych jest Województwo Wielkopolskie z siedzibą Urzędu Marszałkowskiego Województwa Wielkopolskiego w Poznaniu przy al. Niepodległości 34, 61-714 Poznań.</w:t>
      </w:r>
    </w:p>
    <w:p w:rsidR="00824888" w:rsidRPr="00824888" w:rsidRDefault="00824888" w:rsidP="00C44490">
      <w:pPr>
        <w:keepNext/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Państwa dane osobowe są przetwarzane w celach niezbędnych do przeprowadzenia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br/>
        <w:t xml:space="preserve">i rozstrzygnięcia niniejszego konkursu oraz archiwizacji. </w:t>
      </w:r>
    </w:p>
    <w:p w:rsidR="00824888" w:rsidRPr="00824888" w:rsidRDefault="00824888" w:rsidP="00C44490">
      <w:pPr>
        <w:keepNext/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Państwa dane osobowe przetwarzamy: </w:t>
      </w:r>
    </w:p>
    <w:p w:rsidR="00824888" w:rsidRPr="00824888" w:rsidRDefault="00824888" w:rsidP="00C44490">
      <w:pPr>
        <w:keepNext/>
        <w:numPr>
          <w:ilvl w:val="1"/>
          <w:numId w:val="2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 związku z zawarciem oraz wykonaniem umowy;</w:t>
      </w:r>
    </w:p>
    <w:p w:rsidR="00824888" w:rsidRPr="00824888" w:rsidRDefault="00824888" w:rsidP="00C44490">
      <w:pPr>
        <w:numPr>
          <w:ilvl w:val="1"/>
          <w:numId w:val="26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 związku z wypełnieniem obowiązku prawnego ciążącego na administratorze tj. ustawy z dnia 27 sierpnia 2009 roku o finansach publicznych, ustawy z dnia 5 czerwca 1998 roku o samorządzie województwa,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inspektor.ochrony@umww.pl lub poprzez skrytkę </w:t>
      </w:r>
      <w:proofErr w:type="spellStart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ePUAP</w:t>
      </w:r>
      <w:proofErr w:type="spellEnd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: /</w:t>
      </w:r>
      <w:proofErr w:type="spellStart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umarszwlkp</w:t>
      </w:r>
      <w:proofErr w:type="spellEnd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/</w:t>
      </w:r>
      <w:proofErr w:type="spellStart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SkrytkaESP</w:t>
      </w:r>
      <w:proofErr w:type="spellEnd"/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.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Państwa dane osobowe będą przetwarzane przez okres 5 lat zgodnie z Instrukcją Kancelaryjną, licząc od roku następnego, w którym zakończono sprawę.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Podanie danych osobowych jest warunkiem ustawowym oraz warunkiem zawarcia umowy a ich niepodanie skutkuje brakiem możliwości realizacji celów, dla których są gromadzone.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usunięcia danych osobowych, w przypadku o którym mowa w pkt. 3a i 6 lub gdy dane są już niepotrzebne do przetwarzania danych.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cofnięcia zgody na przetwarzanie danych osobowych, w przypadku o którym mowa w pkt. 3a i 6;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przenoszenia danych, w przypadku o którym mowa w pkt. 3a oraz 6 i gdy dane te są przetwarzane w sposób zautomatyzowany;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dostępu do danych osobowych, ich sprostowania lub ograniczenia przetwarzania;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do wniesienia sprzeciwu wobec przetwarzania w związku z Państwa sytuacją szczególną w przypadku o którym mowa w pkt 3b lub sprawowania władzy publicznej.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Przysługuje Państwu prawo wniesienia skargi do organu nadzorczego.</w:t>
      </w:r>
    </w:p>
    <w:p w:rsidR="00824888" w:rsidRPr="00824888" w:rsidRDefault="00824888" w:rsidP="00C44490">
      <w:pPr>
        <w:numPr>
          <w:ilvl w:val="0"/>
          <w:numId w:val="27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Dane osobowe będą ujawnianie:</w:t>
      </w:r>
    </w:p>
    <w:p w:rsidR="00824888" w:rsidRPr="00824888" w:rsidRDefault="00824888" w:rsidP="00C44490">
      <w:pPr>
        <w:suppressAutoHyphens/>
        <w:spacing w:after="0" w:line="360" w:lineRule="auto"/>
        <w:ind w:firstLine="709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a) komisji konkursowej;</w:t>
      </w:r>
    </w:p>
    <w:p w:rsidR="00824888" w:rsidRPr="00824888" w:rsidRDefault="00824888" w:rsidP="00C44490">
      <w:pPr>
        <w:suppressAutoHyphens/>
        <w:spacing w:after="0" w:line="360" w:lineRule="auto"/>
        <w:ind w:left="709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824888" w:rsidRPr="00824888" w:rsidRDefault="00824888" w:rsidP="00C44490">
      <w:pPr>
        <w:suppressAutoHyphens/>
        <w:spacing w:after="0" w:line="360" w:lineRule="auto"/>
        <w:ind w:left="709" w:hanging="425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lastRenderedPageBreak/>
        <w:t>14. Państwa dane osobowe nie są przetwarzane w sposób zautomatyzowany w celu podjęcia jakiejkolwiek decyzji oraz profilowania.</w:t>
      </w:r>
    </w:p>
    <w:p w:rsidR="00824888" w:rsidRPr="00824888" w:rsidRDefault="00824888" w:rsidP="00C44490">
      <w:pPr>
        <w:suppressAutoHyphens/>
        <w:spacing w:after="0" w:line="360" w:lineRule="auto"/>
        <w:ind w:left="709" w:hanging="425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15. Dane osobowe nie są przekazywane poza Europejski Obszar Gospodarczy oraz do   organizacji międzynarodowych.</w:t>
      </w:r>
    </w:p>
    <w:p w:rsidR="00824888" w:rsidRPr="00824888" w:rsidRDefault="00824888" w:rsidP="00C44490">
      <w:p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</w:p>
    <w:p w:rsidR="00824888" w:rsidRPr="00824888" w:rsidRDefault="00824888" w:rsidP="00C44490">
      <w:pPr>
        <w:suppressAutoHyphens/>
        <w:spacing w:after="0" w:line="360" w:lineRule="auto"/>
        <w:jc w:val="both"/>
        <w:outlineLvl w:val="1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XIII. </w:t>
      </w: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Miejsce, termin oraz sposób składania ofert:</w:t>
      </w:r>
    </w:p>
    <w:p w:rsidR="00824888" w:rsidRPr="00824888" w:rsidRDefault="00824888" w:rsidP="00C44490">
      <w:pPr>
        <w:numPr>
          <w:ilvl w:val="0"/>
          <w:numId w:val="4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Oferty należy składać za </w:t>
      </w:r>
      <w:r w:rsidRPr="00824888">
        <w:rPr>
          <w:rFonts w:ascii="Tahoma" w:eastAsiaTheme="majorEastAsia" w:hAnsi="Tahoma" w:cs="Tahoma"/>
          <w:sz w:val="20"/>
          <w:szCs w:val="26"/>
          <w:u w:val="single"/>
          <w:lang w:eastAsia="ar-SA"/>
        </w:rPr>
        <w:t>pośrednictwem poczty, kuriera lub osobiście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w siedzibie Urzędu Marszałkowskiego Województwa Wielkopolskiego w Poznaniu, al. Niepodległości 34,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br/>
        <w:t xml:space="preserve">61-714 Poznań (Punkt Kancelaryjny – hol główny), </w:t>
      </w:r>
      <w:r w:rsidRPr="00824888">
        <w:rPr>
          <w:rFonts w:ascii="Tahoma" w:eastAsiaTheme="majorEastAsia" w:hAnsi="Tahoma" w:cs="Tahoma"/>
          <w:b/>
          <w:sz w:val="20"/>
          <w:szCs w:val="26"/>
          <w:u w:val="single"/>
          <w:lang w:eastAsia="ar-SA"/>
        </w:rPr>
        <w:t>w zaklejonej i opieczętowanej kopercie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z dopiskiem: „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>Prowadzenie działań informacyjno-edukacyjnych z zakresu profilaktyki uzależnień, mających na celu zwiększenie świadomości na temat zachowań szkodliwych dla zdrowia i kształtujących prozdrowotny styl życia”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.</w:t>
      </w:r>
    </w:p>
    <w:p w:rsidR="00824888" w:rsidRPr="00824888" w:rsidRDefault="00824888" w:rsidP="00C44490">
      <w:pPr>
        <w:keepNext/>
        <w:numPr>
          <w:ilvl w:val="0"/>
          <w:numId w:val="4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Oferty składane winny być do: </w:t>
      </w:r>
      <w:r w:rsidR="00B43FA2">
        <w:rPr>
          <w:rFonts w:ascii="Tahoma" w:eastAsiaTheme="majorEastAsia" w:hAnsi="Tahoma" w:cs="Tahoma"/>
          <w:b/>
          <w:sz w:val="20"/>
          <w:szCs w:val="26"/>
          <w:lang w:eastAsia="ar-SA"/>
        </w:rPr>
        <w:t>22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 marca 2024 r. do godz. 15:30.</w:t>
      </w:r>
    </w:p>
    <w:p w:rsidR="00824888" w:rsidRPr="00824888" w:rsidRDefault="00824888" w:rsidP="00C44490">
      <w:pPr>
        <w:keepNext/>
        <w:numPr>
          <w:ilvl w:val="0"/>
          <w:numId w:val="4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 przyjęciu oferty decyduje data i godzina jej wpływu do siedziby Urzędu Marszałkowskiego Województwa Wielkopolskiego w Poznaniu. </w:t>
      </w:r>
    </w:p>
    <w:p w:rsidR="00824888" w:rsidRPr="00824888" w:rsidRDefault="00824888" w:rsidP="00C44490">
      <w:pPr>
        <w:keepNext/>
        <w:numPr>
          <w:ilvl w:val="0"/>
          <w:numId w:val="4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Oferty, które wpłyną po terminie będą odrzucane. </w:t>
      </w:r>
      <w:r w:rsidRPr="00824888">
        <w:rPr>
          <w:rFonts w:ascii="Tahoma" w:eastAsiaTheme="majorEastAsia" w:hAnsi="Tahoma" w:cs="Tahoma"/>
          <w:b/>
          <w:sz w:val="20"/>
          <w:szCs w:val="26"/>
          <w:u w:val="single"/>
          <w:lang w:eastAsia="ar-SA"/>
        </w:rPr>
        <w:t>UWAGA: Nie decyduje data stempla pocztowego.</w:t>
      </w:r>
    </w:p>
    <w:p w:rsidR="00824888" w:rsidRPr="00824888" w:rsidRDefault="00824888" w:rsidP="00C44490">
      <w:pPr>
        <w:keepNext/>
        <w:numPr>
          <w:ilvl w:val="0"/>
          <w:numId w:val="4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Formularz oferty i druki oświadczeń znajdują się do pobrania na stronie internetowej Urzędu Marszałkowskiego Województwa Wielkopolskiego w Poznaniu: </w:t>
      </w:r>
      <w:hyperlink r:id="rId10" w:history="1">
        <w:r w:rsidRPr="00824888">
          <w:rPr>
            <w:rFonts w:ascii="Tahoma" w:eastAsiaTheme="majorEastAsia" w:hAnsi="Tahoma" w:cs="Tahoma"/>
            <w:color w:val="0000FF"/>
            <w:sz w:val="20"/>
            <w:szCs w:val="26"/>
            <w:u w:val="single"/>
            <w:lang w:eastAsia="ar-SA"/>
          </w:rPr>
          <w:t>www.umww.pl</w:t>
        </w:r>
      </w:hyperlink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oraz na stronie internetowej Biuletynu Informacji Publicznej Urzędu Marszałkowskiego Województwa Wielkopolskiego w Poznaniu: </w:t>
      </w:r>
      <w:hyperlink r:id="rId11" w:history="1">
        <w:r w:rsidRPr="00824888">
          <w:rPr>
            <w:rFonts w:ascii="Tahoma" w:eastAsiaTheme="majorEastAsia" w:hAnsi="Tahoma" w:cs="Tahoma"/>
            <w:color w:val="0000FF"/>
            <w:sz w:val="20"/>
            <w:szCs w:val="26"/>
            <w:u w:val="single"/>
            <w:lang w:eastAsia="ar-SA"/>
          </w:rPr>
          <w:t>www.bip.umww.pl</w:t>
        </w:r>
      </w:hyperlink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.</w:t>
      </w:r>
    </w:p>
    <w:p w:rsidR="00824888" w:rsidRPr="00824888" w:rsidRDefault="00824888" w:rsidP="00C44490">
      <w:pPr>
        <w:keepNext/>
        <w:numPr>
          <w:ilvl w:val="0"/>
          <w:numId w:val="4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Dodatkowe informacje uzyskać można pod numerami telefonu: (61) 626 6374;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br/>
        <w:t xml:space="preserve">(61) 626 6372; (61) 626 6360; (61) 626 6378; (61) 626 6359 oraz drogą elektroniczną: </w:t>
      </w:r>
      <w:hyperlink r:id="rId12" w:history="1">
        <w:r w:rsidRPr="00824888">
          <w:rPr>
            <w:rFonts w:ascii="Tahoma" w:eastAsiaTheme="majorEastAsia" w:hAnsi="Tahoma" w:cs="Tahoma"/>
            <w:color w:val="0000FF"/>
            <w:sz w:val="20"/>
            <w:szCs w:val="26"/>
            <w:u w:val="single"/>
            <w:lang w:eastAsia="ar-SA"/>
          </w:rPr>
          <w:t>dz.sekretariat@umww.pl</w:t>
        </w:r>
      </w:hyperlink>
      <w:r w:rsidRPr="00824888">
        <w:rPr>
          <w:rFonts w:ascii="Tahoma" w:eastAsiaTheme="majorEastAsia" w:hAnsi="Tahoma" w:cs="Tahoma"/>
          <w:sz w:val="20"/>
          <w:szCs w:val="26"/>
          <w:u w:val="single"/>
          <w:lang w:eastAsia="ar-SA"/>
        </w:rPr>
        <w:t>.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</w:t>
      </w:r>
    </w:p>
    <w:p w:rsidR="00824888" w:rsidRPr="00824888" w:rsidRDefault="00824888" w:rsidP="00C44490">
      <w:pPr>
        <w:keepNext/>
        <w:numPr>
          <w:ilvl w:val="0"/>
          <w:numId w:val="43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Złożenie oferty nie jest równoznaczne z zapewnieniem przyznania dotacji lub przy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softHyphen/>
        <w:t xml:space="preserve">znaniem dotacji w oczekiwanej wysokości. </w:t>
      </w: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Zastrzega się prawo do przyznania mniejszej kwoty środków niż wnioskowana w ofercie. 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Wysokość przyznanej dotacji zależy m.in. od wyniku oceny merytorycznej oferty oraz kwalifikowalności kosztów.</w:t>
      </w:r>
    </w:p>
    <w:p w:rsidR="00824888" w:rsidRPr="00824888" w:rsidRDefault="00824888" w:rsidP="00C44490">
      <w:pPr>
        <w:keepNext/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</w:p>
    <w:p w:rsidR="00824888" w:rsidRPr="00824888" w:rsidRDefault="00824888" w:rsidP="00C44490">
      <w:pPr>
        <w:keepNext/>
        <w:suppressAutoHyphens/>
        <w:spacing w:after="0" w:line="360" w:lineRule="auto"/>
        <w:jc w:val="both"/>
        <w:outlineLvl w:val="1"/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</w:pPr>
      <w:r w:rsidRPr="00824888">
        <w:rPr>
          <w:rFonts w:ascii="Tahoma" w:eastAsiaTheme="majorEastAsia" w:hAnsi="Tahoma" w:cs="Tahoma"/>
          <w:b/>
          <w:sz w:val="20"/>
          <w:szCs w:val="26"/>
          <w:lang w:eastAsia="ar-SA"/>
        </w:rPr>
        <w:t xml:space="preserve">XIV. </w:t>
      </w:r>
      <w:r w:rsidRPr="00824888">
        <w:rPr>
          <w:rFonts w:ascii="Tahoma" w:eastAsia="UniversPro-Roman" w:hAnsi="Tahoma" w:cs="Tahoma"/>
          <w:b/>
          <w:sz w:val="20"/>
          <w:szCs w:val="20"/>
          <w:u w:val="single"/>
          <w:lang w:eastAsia="ar-SA"/>
        </w:rPr>
        <w:t>Termin rozstrzygnięcia konkursu ofert </w:t>
      </w:r>
    </w:p>
    <w:p w:rsidR="00824888" w:rsidRPr="00824888" w:rsidRDefault="00824888" w:rsidP="00C44490">
      <w:pPr>
        <w:keepNext/>
        <w:numPr>
          <w:ilvl w:val="0"/>
          <w:numId w:val="4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Wybór ofert nastąpi w terminie do dnia </w:t>
      </w:r>
      <w:r w:rsidR="00B37725">
        <w:rPr>
          <w:rFonts w:ascii="Tahoma" w:eastAsiaTheme="majorEastAsia" w:hAnsi="Tahoma" w:cs="Tahoma"/>
          <w:sz w:val="20"/>
          <w:szCs w:val="26"/>
          <w:lang w:eastAsia="ar-SA"/>
        </w:rPr>
        <w:t>10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</w:t>
      </w:r>
      <w:r w:rsidR="00B37725">
        <w:rPr>
          <w:rFonts w:ascii="Tahoma" w:eastAsiaTheme="majorEastAsia" w:hAnsi="Tahoma" w:cs="Tahoma"/>
          <w:sz w:val="20"/>
          <w:szCs w:val="26"/>
          <w:lang w:eastAsia="ar-SA"/>
        </w:rPr>
        <w:t>maja</w:t>
      </w: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 xml:space="preserve"> 2024 r. </w:t>
      </w:r>
    </w:p>
    <w:p w:rsidR="00824888" w:rsidRPr="00824888" w:rsidRDefault="00824888" w:rsidP="00C44490">
      <w:pPr>
        <w:keepNext/>
        <w:numPr>
          <w:ilvl w:val="0"/>
          <w:numId w:val="4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824888" w:rsidRPr="00824888" w:rsidRDefault="00824888" w:rsidP="00C44490">
      <w:pPr>
        <w:keepNext/>
        <w:numPr>
          <w:ilvl w:val="0"/>
          <w:numId w:val="44"/>
        </w:numPr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  <w:r w:rsidRPr="00824888">
        <w:rPr>
          <w:rFonts w:ascii="Tahoma" w:eastAsiaTheme="majorEastAsia" w:hAnsi="Tahoma" w:cs="Tahoma"/>
          <w:sz w:val="20"/>
          <w:szCs w:val="26"/>
          <w:lang w:eastAsia="ar-SA"/>
        </w:rPr>
        <w:t>Od postanowień uchwał Zarządu w sprawie wyboru oferty i udzielenia dotacji nie ma zastosowania tryb odwoławczy.</w:t>
      </w:r>
    </w:p>
    <w:p w:rsidR="00824888" w:rsidRPr="00824888" w:rsidRDefault="00824888" w:rsidP="00C44490">
      <w:pPr>
        <w:keepNext/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sz w:val="20"/>
          <w:szCs w:val="26"/>
          <w:lang w:eastAsia="ar-SA"/>
        </w:rPr>
      </w:pPr>
    </w:p>
    <w:p w:rsidR="00824888" w:rsidRPr="00824888" w:rsidRDefault="00824888" w:rsidP="00C44490">
      <w:pPr>
        <w:keepNext/>
        <w:suppressAutoHyphens/>
        <w:spacing w:after="0" w:line="360" w:lineRule="auto"/>
        <w:jc w:val="both"/>
        <w:outlineLvl w:val="1"/>
        <w:rPr>
          <w:rFonts w:ascii="Tahoma" w:eastAsiaTheme="majorEastAsia" w:hAnsi="Tahoma" w:cs="Tahoma"/>
          <w:b/>
          <w:sz w:val="20"/>
          <w:szCs w:val="26"/>
          <w:lang w:eastAsia="ar-SA"/>
        </w:rPr>
      </w:pPr>
    </w:p>
    <w:p w:rsidR="000511F3" w:rsidRDefault="00A62F28" w:rsidP="00C44490">
      <w:pPr>
        <w:suppressAutoHyphens/>
        <w:spacing w:line="276" w:lineRule="auto"/>
        <w:jc w:val="both"/>
      </w:pPr>
    </w:p>
    <w:sectPr w:rsidR="000511F3" w:rsidSect="0082488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28" w:rsidRDefault="00A62F28" w:rsidP="00824888">
      <w:pPr>
        <w:spacing w:after="0" w:line="240" w:lineRule="auto"/>
      </w:pPr>
      <w:r>
        <w:separator/>
      </w:r>
    </w:p>
  </w:endnote>
  <w:endnote w:type="continuationSeparator" w:id="0">
    <w:p w:rsidR="00A62F28" w:rsidRDefault="00A62F28" w:rsidP="0082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116763"/>
      <w:docPartObj>
        <w:docPartGallery w:val="Page Numbers (Bottom of Page)"/>
        <w:docPartUnique/>
      </w:docPartObj>
    </w:sdtPr>
    <w:sdtEndPr/>
    <w:sdtContent>
      <w:p w:rsidR="00824888" w:rsidRDefault="00A62F28">
        <w:pPr>
          <w:pStyle w:val="Stopka"/>
          <w:jc w:val="center"/>
        </w:pPr>
      </w:p>
    </w:sdtContent>
  </w:sdt>
  <w:p w:rsidR="00FE6A5B" w:rsidRDefault="00A62F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735145"/>
      <w:docPartObj>
        <w:docPartGallery w:val="Page Numbers (Bottom of Page)"/>
        <w:docPartUnique/>
      </w:docPartObj>
    </w:sdtPr>
    <w:sdtEndPr/>
    <w:sdtContent>
      <w:p w:rsidR="00CB464E" w:rsidRDefault="00A62F28">
        <w:pPr>
          <w:pStyle w:val="Stopka"/>
          <w:jc w:val="center"/>
        </w:pPr>
      </w:p>
    </w:sdtContent>
  </w:sdt>
  <w:p w:rsidR="00CB464E" w:rsidRDefault="00A62F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88" w:rsidRDefault="00824888">
    <w:pPr>
      <w:pStyle w:val="Stopka"/>
      <w:jc w:val="center"/>
    </w:pPr>
    <w:r>
      <w:t xml:space="preserve">- </w:t>
    </w:r>
    <w:sdt>
      <w:sdtPr>
        <w:id w:val="-1419711382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7129">
          <w:rPr>
            <w:noProof/>
          </w:rPr>
          <w:t>10</w:t>
        </w:r>
        <w:r>
          <w:fldChar w:fldCharType="end"/>
        </w:r>
        <w:r>
          <w:t xml:space="preserve"> -</w:t>
        </w:r>
      </w:sdtContent>
    </w:sdt>
  </w:p>
  <w:p w:rsidR="00824888" w:rsidRDefault="0082488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88" w:rsidRDefault="00824888">
    <w:pPr>
      <w:pStyle w:val="Stopka"/>
      <w:jc w:val="center"/>
    </w:pPr>
  </w:p>
  <w:p w:rsidR="00824888" w:rsidRDefault="0082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28" w:rsidRDefault="00A62F28" w:rsidP="00824888">
      <w:pPr>
        <w:spacing w:after="0" w:line="240" w:lineRule="auto"/>
      </w:pPr>
      <w:r>
        <w:separator/>
      </w:r>
    </w:p>
  </w:footnote>
  <w:footnote w:type="continuationSeparator" w:id="0">
    <w:p w:rsidR="00A62F28" w:rsidRDefault="00A62F28" w:rsidP="0082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88" w:rsidRDefault="008248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88" w:rsidRDefault="00824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57C58EC"/>
    <w:name w:val="WW8Num3"/>
    <w:lvl w:ilvl="0">
      <w:start w:val="1"/>
      <w:numFmt w:val="upperRoman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2E0AB5"/>
    <w:multiLevelType w:val="hybridMultilevel"/>
    <w:tmpl w:val="0936B280"/>
    <w:lvl w:ilvl="0" w:tplc="28D022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6E2F"/>
    <w:multiLevelType w:val="multilevel"/>
    <w:tmpl w:val="B8F64772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404CEF"/>
    <w:multiLevelType w:val="hybridMultilevel"/>
    <w:tmpl w:val="D0C23414"/>
    <w:lvl w:ilvl="0" w:tplc="6B5647E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5C75"/>
    <w:multiLevelType w:val="hybridMultilevel"/>
    <w:tmpl w:val="9E20A0A6"/>
    <w:lvl w:ilvl="0" w:tplc="4B30C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F71D4"/>
    <w:multiLevelType w:val="hybridMultilevel"/>
    <w:tmpl w:val="26E237B6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3824"/>
    <w:multiLevelType w:val="multilevel"/>
    <w:tmpl w:val="D8D8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F4497A"/>
    <w:multiLevelType w:val="hybridMultilevel"/>
    <w:tmpl w:val="18DE65AE"/>
    <w:lvl w:ilvl="0" w:tplc="685C0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C5F47"/>
    <w:multiLevelType w:val="hybridMultilevel"/>
    <w:tmpl w:val="C0CE4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073D86"/>
    <w:multiLevelType w:val="hybridMultilevel"/>
    <w:tmpl w:val="BF0A9AB4"/>
    <w:lvl w:ilvl="0" w:tplc="DD6AE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543FB"/>
    <w:multiLevelType w:val="hybridMultilevel"/>
    <w:tmpl w:val="75BC3C0C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1BE8"/>
    <w:multiLevelType w:val="hybridMultilevel"/>
    <w:tmpl w:val="76B46C3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72AC8"/>
    <w:multiLevelType w:val="multilevel"/>
    <w:tmpl w:val="FE6C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E74652E"/>
    <w:multiLevelType w:val="hybridMultilevel"/>
    <w:tmpl w:val="A31631F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2E9966CD"/>
    <w:multiLevelType w:val="hybridMultilevel"/>
    <w:tmpl w:val="55A0514C"/>
    <w:lvl w:ilvl="0" w:tplc="45F2E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B023F"/>
    <w:multiLevelType w:val="hybridMultilevel"/>
    <w:tmpl w:val="78222FBE"/>
    <w:lvl w:ilvl="0" w:tplc="454851F2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E582C"/>
    <w:multiLevelType w:val="hybridMultilevel"/>
    <w:tmpl w:val="A47E1FCE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6A8D"/>
    <w:multiLevelType w:val="hybridMultilevel"/>
    <w:tmpl w:val="E2989296"/>
    <w:lvl w:ilvl="0" w:tplc="1578F7E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AD51BB"/>
    <w:multiLevelType w:val="hybridMultilevel"/>
    <w:tmpl w:val="61A0A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B51108"/>
    <w:multiLevelType w:val="hybridMultilevel"/>
    <w:tmpl w:val="256E5AE4"/>
    <w:lvl w:ilvl="0" w:tplc="1578F7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 w15:restartNumberingAfterBreak="0">
    <w:nsid w:val="47F263FE"/>
    <w:multiLevelType w:val="hybridMultilevel"/>
    <w:tmpl w:val="C504B23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A4F4141"/>
    <w:multiLevelType w:val="hybridMultilevel"/>
    <w:tmpl w:val="1F4036E0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D2EA8"/>
    <w:multiLevelType w:val="hybridMultilevel"/>
    <w:tmpl w:val="494EC90C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693"/>
    <w:multiLevelType w:val="hybridMultilevel"/>
    <w:tmpl w:val="321CE320"/>
    <w:lvl w:ilvl="0" w:tplc="B26ED450">
      <w:start w:val="3"/>
      <w:numFmt w:val="ordinal"/>
      <w:lvlText w:val="%1a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A451D"/>
    <w:multiLevelType w:val="hybridMultilevel"/>
    <w:tmpl w:val="4350CF4C"/>
    <w:lvl w:ilvl="0" w:tplc="1578F7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61D6D"/>
    <w:multiLevelType w:val="hybridMultilevel"/>
    <w:tmpl w:val="0C465DAA"/>
    <w:lvl w:ilvl="0" w:tplc="8CDA0E5A">
      <w:start w:val="3"/>
      <w:numFmt w:val="ordinal"/>
      <w:lvlText w:val="%1b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40" w:firstLine="20"/>
      </w:pPr>
    </w:lvl>
    <w:lvl w:ilvl="1" w:tplc="6BD0A1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23F1F"/>
    <w:multiLevelType w:val="hybridMultilevel"/>
    <w:tmpl w:val="83A24814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44D7A"/>
    <w:multiLevelType w:val="hybridMultilevel"/>
    <w:tmpl w:val="0F50F35E"/>
    <w:lvl w:ilvl="0" w:tplc="1578F7E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487026"/>
    <w:multiLevelType w:val="hybridMultilevel"/>
    <w:tmpl w:val="653AC4EA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D0949"/>
    <w:multiLevelType w:val="hybridMultilevel"/>
    <w:tmpl w:val="AE78BF3C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4068E"/>
    <w:multiLevelType w:val="hybridMultilevel"/>
    <w:tmpl w:val="634005F0"/>
    <w:lvl w:ilvl="0" w:tplc="78167A2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86888"/>
    <w:multiLevelType w:val="multilevel"/>
    <w:tmpl w:val="D36A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AFF4C06"/>
    <w:multiLevelType w:val="hybridMultilevel"/>
    <w:tmpl w:val="AA587BFC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774CD"/>
    <w:multiLevelType w:val="hybridMultilevel"/>
    <w:tmpl w:val="41EC587E"/>
    <w:lvl w:ilvl="0" w:tplc="6EE49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1"/>
  </w:num>
  <w:num w:numId="8">
    <w:abstractNumId w:val="39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  <w:num w:numId="16">
    <w:abstractNumId w:val="30"/>
  </w:num>
  <w:num w:numId="17">
    <w:abstractNumId w:val="3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  <w:num w:numId="27">
    <w:abstractNumId w:val="29"/>
  </w:num>
  <w:num w:numId="28">
    <w:abstractNumId w:val="34"/>
  </w:num>
  <w:num w:numId="29">
    <w:abstractNumId w:val="28"/>
  </w:num>
  <w:num w:numId="30">
    <w:abstractNumId w:val="38"/>
  </w:num>
  <w:num w:numId="31">
    <w:abstractNumId w:val="23"/>
  </w:num>
  <w:num w:numId="32">
    <w:abstractNumId w:val="9"/>
  </w:num>
  <w:num w:numId="33">
    <w:abstractNumId w:val="31"/>
  </w:num>
  <w:num w:numId="34">
    <w:abstractNumId w:val="21"/>
  </w:num>
  <w:num w:numId="35">
    <w:abstractNumId w:val="35"/>
  </w:num>
  <w:num w:numId="36">
    <w:abstractNumId w:val="18"/>
  </w:num>
  <w:num w:numId="37">
    <w:abstractNumId w:val="37"/>
  </w:num>
  <w:num w:numId="38">
    <w:abstractNumId w:val="12"/>
  </w:num>
  <w:num w:numId="39">
    <w:abstractNumId w:val="13"/>
  </w:num>
  <w:num w:numId="40">
    <w:abstractNumId w:val="27"/>
  </w:num>
  <w:num w:numId="41">
    <w:abstractNumId w:val="36"/>
  </w:num>
  <w:num w:numId="42">
    <w:abstractNumId w:val="40"/>
  </w:num>
  <w:num w:numId="43">
    <w:abstractNumId w:val="3"/>
  </w:num>
  <w:num w:numId="44">
    <w:abstractNumId w:val="5"/>
  </w:num>
  <w:num w:numId="45">
    <w:abstractNumId w:val="1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88"/>
    <w:rsid w:val="001C574D"/>
    <w:rsid w:val="001F1761"/>
    <w:rsid w:val="00213BCB"/>
    <w:rsid w:val="00246A58"/>
    <w:rsid w:val="00367129"/>
    <w:rsid w:val="003A5DE7"/>
    <w:rsid w:val="00551199"/>
    <w:rsid w:val="00612C55"/>
    <w:rsid w:val="00654A16"/>
    <w:rsid w:val="0075593E"/>
    <w:rsid w:val="007C0DCD"/>
    <w:rsid w:val="008117DB"/>
    <w:rsid w:val="00824888"/>
    <w:rsid w:val="008D2370"/>
    <w:rsid w:val="00A138EC"/>
    <w:rsid w:val="00A62F28"/>
    <w:rsid w:val="00B37725"/>
    <w:rsid w:val="00B43FA2"/>
    <w:rsid w:val="00BC753F"/>
    <w:rsid w:val="00C44490"/>
    <w:rsid w:val="00E576BD"/>
    <w:rsid w:val="00E8213D"/>
    <w:rsid w:val="00F01509"/>
    <w:rsid w:val="00F46ED1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2A45"/>
  <w15:chartTrackingRefBased/>
  <w15:docId w15:val="{8CD445ED-FF9D-4488-97B4-07909EB4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D1"/>
  </w:style>
  <w:style w:type="paragraph" w:styleId="Nagwek1">
    <w:name w:val="heading 1"/>
    <w:basedOn w:val="Normalny"/>
    <w:next w:val="Normalny"/>
    <w:link w:val="Nagwek1Znak"/>
    <w:qFormat/>
    <w:rsid w:val="00213BCB"/>
    <w:pPr>
      <w:keepNext/>
      <w:widowControl w:val="0"/>
      <w:numPr>
        <w:numId w:val="1"/>
      </w:numPr>
      <w:suppressAutoHyphens/>
      <w:spacing w:after="0" w:line="240" w:lineRule="auto"/>
      <w:ind w:left="360"/>
      <w:outlineLvl w:val="0"/>
    </w:pPr>
    <w:rPr>
      <w:rFonts w:ascii="Calibri" w:hAnsi="Calibri"/>
      <w:b/>
      <w:smallCaps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CFC"/>
    <w:pPr>
      <w:keepNext/>
      <w:keepLines/>
      <w:numPr>
        <w:ilvl w:val="1"/>
        <w:numId w:val="14"/>
      </w:numPr>
      <w:tabs>
        <w:tab w:val="num" w:pos="720"/>
      </w:tabs>
      <w:spacing w:before="40" w:after="120" w:line="276" w:lineRule="auto"/>
      <w:outlineLvl w:val="1"/>
    </w:pPr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C574D"/>
    <w:pPr>
      <w:keepNext/>
      <w:keepLines/>
      <w:numPr>
        <w:numId w:val="11"/>
      </w:numPr>
      <w:spacing w:before="40" w:after="40" w:line="276" w:lineRule="auto"/>
      <w:ind w:left="1066" w:hanging="357"/>
      <w:jc w:val="both"/>
      <w:outlineLvl w:val="3"/>
    </w:pPr>
    <w:rPr>
      <w:rFonts w:ascii="Calibri" w:eastAsiaTheme="majorEastAsia" w:hAnsi="Calibri" w:cstheme="majorBidi"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rsid w:val="00BC753F"/>
    <w:pPr>
      <w:suppressAutoHyphens/>
      <w:spacing w:after="0" w:line="240" w:lineRule="auto"/>
    </w:pPr>
    <w:rPr>
      <w:rFonts w:ascii="Times New Roman" w:eastAsia="Times New Roman" w:hAnsi="Times New Roman"/>
      <w:sz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rsid w:val="00BC753F"/>
    <w:rPr>
      <w:rFonts w:ascii="Times New Roman" w:eastAsia="Times New Roman" w:hAnsi="Times New Roman"/>
      <w:sz w:val="16"/>
      <w:lang w:val="x-none" w:eastAsia="ar-SA"/>
    </w:rPr>
  </w:style>
  <w:style w:type="character" w:customStyle="1" w:styleId="Nagwek1Znak">
    <w:name w:val="Nagłówek 1 Znak"/>
    <w:link w:val="Nagwek1"/>
    <w:rsid w:val="00213BCB"/>
    <w:rPr>
      <w:rFonts w:ascii="Calibri" w:hAnsi="Calibri"/>
      <w:b/>
      <w:smallCaps/>
      <w:sz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CFC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C574D"/>
    <w:rPr>
      <w:rFonts w:ascii="Calibri" w:eastAsiaTheme="majorEastAsia" w:hAnsi="Calibri" w:cstheme="majorBidi"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8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4888"/>
    <w:rPr>
      <w:rFonts w:ascii="Arial" w:eastAsia="Times New Roman" w:hAnsi="Arial" w:cs="Times New Roman"/>
      <w:sz w:val="1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dz.sekretariat@umw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umw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ww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4487</Words>
  <Characters>26926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Maciej</dc:creator>
  <cp:keywords/>
  <dc:description/>
  <cp:lastModifiedBy>Szafer Karolina</cp:lastModifiedBy>
  <cp:revision>8</cp:revision>
  <cp:lastPrinted>2024-02-12T09:46:00Z</cp:lastPrinted>
  <dcterms:created xsi:type="dcterms:W3CDTF">2024-02-12T07:06:00Z</dcterms:created>
  <dcterms:modified xsi:type="dcterms:W3CDTF">2024-02-15T11:49:00Z</dcterms:modified>
</cp:coreProperties>
</file>