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4459" w:type="dxa"/>
        <w:tblInd w:w="-289" w:type="dxa"/>
        <w:tblLayout w:type="fixed"/>
        <w:tblLook w:val="04A0" w:firstRow="1" w:lastRow="0" w:firstColumn="1" w:lastColumn="0" w:noHBand="0" w:noVBand="1"/>
      </w:tblPr>
      <w:tblGrid>
        <w:gridCol w:w="568"/>
        <w:gridCol w:w="850"/>
        <w:gridCol w:w="1560"/>
        <w:gridCol w:w="1275"/>
        <w:gridCol w:w="6663"/>
        <w:gridCol w:w="3543"/>
      </w:tblGrid>
      <w:tr w:rsidR="00AF5BE5" w:rsidRPr="00AF5BE5" w:rsidTr="00AF5BE5">
        <w:trPr>
          <w:trHeight w:val="57"/>
          <w:tblHeader/>
        </w:trPr>
        <w:tc>
          <w:tcPr>
            <w:tcW w:w="568" w:type="dxa"/>
            <w:shd w:val="clear" w:color="auto" w:fill="D9D9D9" w:themeFill="background1" w:themeFillShade="D9"/>
            <w:vAlign w:val="center"/>
          </w:tcPr>
          <w:p w:rsidR="00AF5BE5" w:rsidRPr="00AF5BE5" w:rsidRDefault="00AF5BE5" w:rsidP="00854A98">
            <w:pPr>
              <w:pStyle w:val="Naglowektab"/>
              <w:rPr>
                <w:rStyle w:val="Uwydatnienie"/>
                <w:rFonts w:asciiTheme="minorHAnsi" w:hAnsiTheme="minorHAnsi" w:cstheme="minorHAnsi"/>
                <w:sz w:val="24"/>
                <w:szCs w:val="24"/>
              </w:rPr>
            </w:pPr>
            <w:r w:rsidRPr="00AF5BE5">
              <w:rPr>
                <w:rStyle w:val="Uwydatnienie"/>
                <w:rFonts w:asciiTheme="minorHAnsi" w:hAnsiTheme="minorHAnsi" w:cstheme="minorHAnsi"/>
                <w:sz w:val="24"/>
                <w:szCs w:val="24"/>
              </w:rPr>
              <w:t>Lp.</w:t>
            </w:r>
          </w:p>
        </w:tc>
        <w:tc>
          <w:tcPr>
            <w:tcW w:w="850" w:type="dxa"/>
            <w:shd w:val="clear" w:color="auto" w:fill="D9D9D9" w:themeFill="background1" w:themeFillShade="D9"/>
            <w:vAlign w:val="center"/>
          </w:tcPr>
          <w:p w:rsidR="00AF5BE5" w:rsidRPr="00AF5BE5" w:rsidRDefault="00AF5BE5" w:rsidP="00854A98">
            <w:pPr>
              <w:jc w:val="center"/>
              <w:rPr>
                <w:rFonts w:cstheme="minorHAnsi"/>
                <w:b/>
                <w:bCs/>
                <w:sz w:val="24"/>
                <w:szCs w:val="24"/>
              </w:rPr>
            </w:pPr>
            <w:r w:rsidRPr="00AF5BE5">
              <w:rPr>
                <w:rFonts w:cstheme="minorHAnsi"/>
                <w:b/>
                <w:bCs/>
                <w:sz w:val="24"/>
                <w:szCs w:val="24"/>
              </w:rPr>
              <w:t>Data wpływu wniosku</w:t>
            </w:r>
          </w:p>
        </w:tc>
        <w:tc>
          <w:tcPr>
            <w:tcW w:w="1560" w:type="dxa"/>
            <w:shd w:val="clear" w:color="auto" w:fill="D9D9D9" w:themeFill="background1" w:themeFillShade="D9"/>
            <w:vAlign w:val="center"/>
          </w:tcPr>
          <w:p w:rsidR="00AF5BE5" w:rsidRPr="00AF5BE5" w:rsidRDefault="00AF5BE5" w:rsidP="00854A98">
            <w:pPr>
              <w:jc w:val="center"/>
              <w:rPr>
                <w:rFonts w:cstheme="minorHAnsi"/>
                <w:b/>
                <w:bCs/>
                <w:sz w:val="24"/>
                <w:szCs w:val="24"/>
              </w:rPr>
            </w:pPr>
            <w:r w:rsidRPr="00AF5BE5">
              <w:rPr>
                <w:rFonts w:cstheme="minorHAnsi"/>
                <w:b/>
                <w:bCs/>
                <w:sz w:val="24"/>
                <w:szCs w:val="24"/>
              </w:rPr>
              <w:t>Wnioskodawca</w:t>
            </w:r>
          </w:p>
        </w:tc>
        <w:tc>
          <w:tcPr>
            <w:tcW w:w="1275" w:type="dxa"/>
            <w:shd w:val="clear" w:color="auto" w:fill="D9D9D9" w:themeFill="background1" w:themeFillShade="D9"/>
            <w:vAlign w:val="center"/>
          </w:tcPr>
          <w:p w:rsidR="00AF5BE5" w:rsidRPr="00AF5BE5" w:rsidRDefault="00AF5BE5" w:rsidP="00854A98">
            <w:pPr>
              <w:jc w:val="center"/>
              <w:rPr>
                <w:rFonts w:cstheme="minorHAnsi"/>
                <w:b/>
                <w:bCs/>
                <w:sz w:val="24"/>
                <w:szCs w:val="24"/>
              </w:rPr>
            </w:pPr>
            <w:r w:rsidRPr="00AF5BE5">
              <w:rPr>
                <w:rFonts w:cstheme="minorHAnsi"/>
                <w:b/>
                <w:bCs/>
                <w:sz w:val="24"/>
                <w:szCs w:val="24"/>
              </w:rPr>
              <w:t>Sposób zgłoszenia uwag</w:t>
            </w:r>
          </w:p>
        </w:tc>
        <w:tc>
          <w:tcPr>
            <w:tcW w:w="6663" w:type="dxa"/>
            <w:shd w:val="clear" w:color="auto" w:fill="D9D9D9" w:themeFill="background1" w:themeFillShade="D9"/>
            <w:vAlign w:val="center"/>
          </w:tcPr>
          <w:p w:rsidR="00AF5BE5" w:rsidRPr="00AF5BE5" w:rsidRDefault="00AF5BE5" w:rsidP="00854A98">
            <w:pPr>
              <w:jc w:val="center"/>
              <w:rPr>
                <w:rFonts w:cstheme="minorHAnsi"/>
                <w:b/>
                <w:bCs/>
                <w:sz w:val="24"/>
                <w:szCs w:val="24"/>
              </w:rPr>
            </w:pPr>
            <w:r w:rsidRPr="00AF5BE5">
              <w:rPr>
                <w:rFonts w:cstheme="minorHAnsi"/>
                <w:b/>
                <w:bCs/>
                <w:sz w:val="24"/>
                <w:szCs w:val="24"/>
              </w:rPr>
              <w:t>Uwagi i wnioski</w:t>
            </w:r>
          </w:p>
        </w:tc>
        <w:tc>
          <w:tcPr>
            <w:tcW w:w="3543" w:type="dxa"/>
            <w:shd w:val="clear" w:color="auto" w:fill="D9D9D9" w:themeFill="background1" w:themeFillShade="D9"/>
            <w:vAlign w:val="center"/>
          </w:tcPr>
          <w:p w:rsidR="00AF5BE5" w:rsidRPr="00AF5BE5" w:rsidRDefault="00AF5BE5" w:rsidP="00854A98">
            <w:pPr>
              <w:jc w:val="center"/>
              <w:rPr>
                <w:rFonts w:cstheme="minorHAnsi"/>
                <w:b/>
                <w:bCs/>
                <w:sz w:val="24"/>
                <w:szCs w:val="24"/>
              </w:rPr>
            </w:pPr>
            <w:r w:rsidRPr="00AF5BE5">
              <w:rPr>
                <w:rFonts w:cstheme="minorHAnsi"/>
                <w:b/>
                <w:bCs/>
                <w:sz w:val="24"/>
                <w:szCs w:val="24"/>
              </w:rPr>
              <w:t>Sposób rozstrzygnięcia</w:t>
            </w:r>
          </w:p>
        </w:tc>
      </w:tr>
      <w:tr w:rsidR="00AF5BE5" w:rsidRPr="00AF5BE5" w:rsidTr="00AF5BE5">
        <w:trPr>
          <w:trHeight w:val="57"/>
        </w:trPr>
        <w:tc>
          <w:tcPr>
            <w:tcW w:w="568" w:type="dxa"/>
            <w:shd w:val="clear" w:color="auto" w:fill="auto"/>
            <w:vAlign w:val="center"/>
          </w:tcPr>
          <w:p w:rsidR="00AF5BE5" w:rsidRPr="00AF5BE5" w:rsidRDefault="00AF5BE5" w:rsidP="00854A98">
            <w:pPr>
              <w:pStyle w:val="Akapitzlist"/>
              <w:numPr>
                <w:ilvl w:val="0"/>
                <w:numId w:val="3"/>
              </w:numPr>
              <w:ind w:left="0" w:firstLine="0"/>
              <w:jc w:val="center"/>
              <w:rPr>
                <w:rStyle w:val="Uwydatnienie"/>
                <w:rFonts w:asciiTheme="minorHAnsi" w:hAnsiTheme="minorHAnsi" w:cstheme="minorHAnsi"/>
                <w:sz w:val="24"/>
                <w:szCs w:val="24"/>
              </w:rPr>
            </w:pPr>
          </w:p>
        </w:tc>
        <w:tc>
          <w:tcPr>
            <w:tcW w:w="850" w:type="dxa"/>
            <w:shd w:val="clear" w:color="auto" w:fill="auto"/>
            <w:vAlign w:val="center"/>
          </w:tcPr>
          <w:p w:rsidR="00AF5BE5" w:rsidRPr="00AF5BE5" w:rsidRDefault="00AF5BE5" w:rsidP="00854A98">
            <w:pPr>
              <w:rPr>
                <w:rFonts w:cstheme="minorHAnsi"/>
                <w:sz w:val="24"/>
                <w:szCs w:val="24"/>
              </w:rPr>
            </w:pPr>
            <w:r w:rsidRPr="00AF5BE5">
              <w:rPr>
                <w:rFonts w:cstheme="minorHAnsi"/>
                <w:sz w:val="24"/>
                <w:szCs w:val="24"/>
              </w:rPr>
              <w:t>05.06.2024</w:t>
            </w:r>
            <w:bookmarkStart w:id="0" w:name="_GoBack"/>
            <w:bookmarkEnd w:id="0"/>
          </w:p>
        </w:tc>
        <w:tc>
          <w:tcPr>
            <w:tcW w:w="1560" w:type="dxa"/>
            <w:shd w:val="clear" w:color="auto" w:fill="auto"/>
            <w:vAlign w:val="center"/>
          </w:tcPr>
          <w:p w:rsidR="00AF5BE5" w:rsidRPr="00AF5BE5" w:rsidRDefault="00AF5BE5" w:rsidP="00854A98">
            <w:pPr>
              <w:rPr>
                <w:rFonts w:cstheme="minorHAnsi"/>
                <w:sz w:val="24"/>
                <w:szCs w:val="24"/>
              </w:rPr>
            </w:pPr>
            <w:r w:rsidRPr="00AF5BE5">
              <w:rPr>
                <w:rFonts w:cstheme="minorHAnsi"/>
                <w:sz w:val="24"/>
                <w:szCs w:val="24"/>
              </w:rPr>
              <w:t>Towarzystwo Przyjaciół Gminy Ślesin</w:t>
            </w:r>
          </w:p>
        </w:tc>
        <w:tc>
          <w:tcPr>
            <w:tcW w:w="1275" w:type="dxa"/>
            <w:shd w:val="clear" w:color="auto" w:fill="auto"/>
            <w:vAlign w:val="center"/>
          </w:tcPr>
          <w:p w:rsidR="00AF5BE5" w:rsidRPr="00AF5BE5" w:rsidRDefault="00AF5BE5" w:rsidP="00854A98">
            <w:pPr>
              <w:jc w:val="center"/>
              <w:rPr>
                <w:rFonts w:cstheme="minorHAnsi"/>
                <w:sz w:val="24"/>
                <w:szCs w:val="24"/>
              </w:rPr>
            </w:pPr>
            <w:r w:rsidRPr="00AF5BE5">
              <w:rPr>
                <w:rFonts w:cstheme="minorHAnsi"/>
                <w:sz w:val="24"/>
                <w:szCs w:val="24"/>
              </w:rPr>
              <w:t>formularz</w:t>
            </w:r>
          </w:p>
        </w:tc>
        <w:tc>
          <w:tcPr>
            <w:tcW w:w="6663" w:type="dxa"/>
            <w:shd w:val="clear" w:color="auto" w:fill="auto"/>
            <w:vAlign w:val="center"/>
          </w:tcPr>
          <w:p w:rsidR="00AF5BE5" w:rsidRPr="00AF5BE5" w:rsidRDefault="00AF5BE5" w:rsidP="00854A98">
            <w:pPr>
              <w:pStyle w:val="Akapitzlist"/>
              <w:numPr>
                <w:ilvl w:val="0"/>
                <w:numId w:val="2"/>
              </w:numPr>
              <w:spacing w:after="120"/>
              <w:ind w:left="266" w:hanging="357"/>
              <w:contextualSpacing w:val="0"/>
              <w:rPr>
                <w:rFonts w:asciiTheme="minorHAnsi" w:hAnsiTheme="minorHAnsi" w:cstheme="minorHAnsi"/>
                <w:sz w:val="24"/>
                <w:szCs w:val="24"/>
              </w:rPr>
            </w:pPr>
            <w:r w:rsidRPr="00AF5BE5">
              <w:rPr>
                <w:rFonts w:asciiTheme="minorHAnsi" w:hAnsiTheme="minorHAnsi" w:cstheme="minorHAnsi"/>
                <w:sz w:val="24"/>
                <w:szCs w:val="24"/>
              </w:rPr>
              <w:t>Proponuję załączyć mapę Wielkiej Pętli Wielkopolski w granicach województwa.</w:t>
            </w:r>
            <w:r w:rsidRPr="00AF5BE5">
              <w:rPr>
                <w:rFonts w:asciiTheme="minorHAnsi" w:hAnsiTheme="minorHAnsi" w:cstheme="minorHAnsi"/>
                <w:sz w:val="24"/>
                <w:szCs w:val="24"/>
              </w:rPr>
              <w:br/>
              <w:t>Punkt 2.2 nie identyfikuje szlaków wodnych jako źródła hałasu.</w:t>
            </w:r>
          </w:p>
          <w:p w:rsidR="00AF5BE5" w:rsidRPr="00AF5BE5" w:rsidRDefault="00AF5BE5" w:rsidP="00854A98">
            <w:pPr>
              <w:pStyle w:val="Akapitzlist"/>
              <w:numPr>
                <w:ilvl w:val="0"/>
                <w:numId w:val="2"/>
              </w:numPr>
              <w:ind w:left="272"/>
              <w:rPr>
                <w:rFonts w:asciiTheme="minorHAnsi" w:hAnsiTheme="minorHAnsi" w:cstheme="minorHAnsi"/>
                <w:sz w:val="24"/>
                <w:szCs w:val="24"/>
              </w:rPr>
            </w:pPr>
            <w:r w:rsidRPr="00AF5BE5">
              <w:rPr>
                <w:rFonts w:asciiTheme="minorHAnsi" w:hAnsiTheme="minorHAnsi" w:cstheme="minorHAnsi"/>
                <w:sz w:val="24"/>
                <w:szCs w:val="24"/>
              </w:rPr>
              <w:t>W punkcie 3.4 brak informacji na temat hałasu emitowanego przez spalinowe jednostki na szlakach wodnych.</w:t>
            </w:r>
            <w:r w:rsidRPr="00AF5BE5">
              <w:rPr>
                <w:rFonts w:asciiTheme="minorHAnsi" w:hAnsiTheme="minorHAnsi" w:cstheme="minorHAnsi"/>
                <w:sz w:val="24"/>
                <w:szCs w:val="24"/>
              </w:rPr>
              <w:br/>
              <w:t xml:space="preserve">Na uwzględnienie i poświęcenie znacznej uwagi zasługują również drogi wodne, znajdujące się na terenie naszego województwa. Drogi, na, których w ostatnich latach w znacznym stopniu został zintensyfikowany ruch motorowodny. Za Przykład może posłużyć Kanał Ślesiński będący odcinkiem drogi wodnej </w:t>
            </w:r>
            <w:proofErr w:type="spellStart"/>
            <w:r w:rsidRPr="00AF5BE5">
              <w:rPr>
                <w:rFonts w:asciiTheme="minorHAnsi" w:hAnsiTheme="minorHAnsi" w:cstheme="minorHAnsi"/>
                <w:sz w:val="24"/>
                <w:szCs w:val="24"/>
              </w:rPr>
              <w:t>lI</w:t>
            </w:r>
            <w:proofErr w:type="spellEnd"/>
            <w:r w:rsidRPr="00AF5BE5">
              <w:rPr>
                <w:rFonts w:asciiTheme="minorHAnsi" w:hAnsiTheme="minorHAnsi" w:cstheme="minorHAnsi"/>
                <w:sz w:val="24"/>
                <w:szCs w:val="24"/>
              </w:rPr>
              <w:t xml:space="preserve"> kategorii. Odcinek omawianej drogi wodnej przebiega przez tereny zamieszkałe w bliskiej odległości od zbiornika znajdują się domy mieszkalne, ośrodki wypoczynkowe oraz domki letniskowe. Mieszkańców, którzy mieszkają w bezpośrednim sąsiedztwie jezior wiedzą jak uciążliwe jest to sąsiedztwo. Ta uciążliwość ma wiele wymiarów, ale najdotkliwszy jest wszechobecny hałas. Hałas, który emitowany jest każdego dnia przez tysiące skuterów wodnych, setki przepływających warczących łodzi motorowych, oraz przez innego rodzaju napędzane silnikami spalinowymi sprzęty wodne. Natężenie hałasu w odległości 100 metrów od brzegu bardzo często przekracza 100 decybeli (norma dla terenów mieszkalnych 45-50 </w:t>
            </w:r>
            <w:proofErr w:type="spellStart"/>
            <w:r w:rsidRPr="00AF5BE5">
              <w:rPr>
                <w:rFonts w:asciiTheme="minorHAnsi" w:hAnsiTheme="minorHAnsi" w:cstheme="minorHAnsi"/>
                <w:sz w:val="24"/>
                <w:szCs w:val="24"/>
              </w:rPr>
              <w:t>dB</w:t>
            </w:r>
            <w:proofErr w:type="spellEnd"/>
            <w:r w:rsidRPr="00AF5BE5">
              <w:rPr>
                <w:rFonts w:asciiTheme="minorHAnsi" w:hAnsiTheme="minorHAnsi" w:cstheme="minorHAnsi"/>
                <w:sz w:val="24"/>
                <w:szCs w:val="24"/>
              </w:rPr>
              <w:t>). Hałas ten utrzymuje się od zmierzchu do świtu, przez większą część roku z wyłączeniem okresu zimowego, wpływa to bardzo negatywnie zarówno na mieszkańców, turystów chcących wypocząć w ciszy i spokoju nad jednym z jezior wchodzących w skład Kanału Ślesińskiego (jeziora: pątnowskie, wąsewskie, mikorzyńskie oraz ślesińskie) Problem dotyczy także zwierząt wodnych i tych zamieszkujących okoliczne lasy. Hałas jest tak silny, że słyszalny jest w odległości nawet 2 kilometrów od drogi wodnej. Problem ten dotyczy nie tylko Kanału Ślesińskiego, ale każdej drogi wodnej w szczególności tych przebiegających wprost przez tereny zamieszkałe lub w bliskiej ich odległości.</w:t>
            </w:r>
          </w:p>
        </w:tc>
        <w:tc>
          <w:tcPr>
            <w:tcW w:w="3543" w:type="dxa"/>
            <w:shd w:val="clear" w:color="auto" w:fill="auto"/>
            <w:vAlign w:val="center"/>
          </w:tcPr>
          <w:p w:rsidR="00AF5BE5" w:rsidRPr="00AF5BE5" w:rsidRDefault="00AF5BE5" w:rsidP="00854A98">
            <w:pPr>
              <w:rPr>
                <w:rFonts w:cstheme="minorHAnsi"/>
                <w:sz w:val="24"/>
                <w:szCs w:val="24"/>
              </w:rPr>
            </w:pPr>
            <w:r w:rsidRPr="00AF5BE5">
              <w:rPr>
                <w:rFonts w:cstheme="minorHAnsi"/>
                <w:sz w:val="24"/>
                <w:szCs w:val="24"/>
              </w:rPr>
              <w:t>Nie uwzględniono</w:t>
            </w:r>
            <w:r w:rsidRPr="00AF5BE5">
              <w:rPr>
                <w:rFonts w:cstheme="minorHAnsi"/>
                <w:sz w:val="24"/>
                <w:szCs w:val="24"/>
              </w:rPr>
              <w:br/>
              <w:t xml:space="preserve">Zakres strategicznych map hałasu (SMH) i programu ochrony środowiska przed hałasem (POH) regulowany jest przez art. 112a, 117a i 119a ustawy </w:t>
            </w:r>
            <w:r w:rsidRPr="00AF5BE5">
              <w:rPr>
                <w:rFonts w:cstheme="minorHAnsi"/>
                <w:i/>
                <w:iCs/>
                <w:sz w:val="24"/>
                <w:szCs w:val="24"/>
              </w:rPr>
              <w:t>Prawo ochrony środowiska</w:t>
            </w:r>
            <w:r w:rsidRPr="00AF5BE5">
              <w:rPr>
                <w:rFonts w:cstheme="minorHAnsi"/>
                <w:sz w:val="24"/>
                <w:szCs w:val="24"/>
              </w:rPr>
              <w:t>, a także Dyrektywę 2002/49/WE Parlamentu Europejskiego i Rady. Zgodnie z ww. aktami prawa szlaki wodne i spalinowe jednostki po nich pływające nie są przedmiotem strategicznego zarządzania środowiskiem.</w:t>
            </w:r>
          </w:p>
          <w:p w:rsidR="00AF5BE5" w:rsidRPr="00AF5BE5" w:rsidRDefault="00AF5BE5" w:rsidP="00854A98">
            <w:pPr>
              <w:rPr>
                <w:rFonts w:cstheme="minorHAnsi"/>
                <w:sz w:val="24"/>
                <w:szCs w:val="24"/>
              </w:rPr>
            </w:pPr>
            <w:r w:rsidRPr="00AF5BE5">
              <w:rPr>
                <w:rFonts w:cstheme="minorHAnsi"/>
                <w:sz w:val="24"/>
                <w:szCs w:val="24"/>
              </w:rPr>
              <w:t xml:space="preserve">W odniesieniu do pozostałych obiektów, nie objętych SMH i POH, ustawa </w:t>
            </w:r>
            <w:proofErr w:type="spellStart"/>
            <w:r w:rsidRPr="00AF5BE5">
              <w:rPr>
                <w:rFonts w:cstheme="minorHAnsi"/>
                <w:sz w:val="24"/>
                <w:szCs w:val="24"/>
              </w:rPr>
              <w:t>Poś</w:t>
            </w:r>
            <w:proofErr w:type="spellEnd"/>
            <w:r w:rsidRPr="00AF5BE5">
              <w:rPr>
                <w:rFonts w:cstheme="minorHAnsi"/>
                <w:sz w:val="24"/>
                <w:szCs w:val="24"/>
              </w:rPr>
              <w:t xml:space="preserve"> przewiduje odrębne procedury administracyjne bieżącej kontroli i ustalania warunków korzystania ze środowiska. </w:t>
            </w:r>
          </w:p>
        </w:tc>
      </w:tr>
    </w:tbl>
    <w:p w:rsidR="0074323E" w:rsidRDefault="0074323E"/>
    <w:sectPr w:rsidR="0074323E" w:rsidSect="00AF5BE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173A"/>
    <w:multiLevelType w:val="hybridMultilevel"/>
    <w:tmpl w:val="0C8E191A"/>
    <w:lvl w:ilvl="0" w:tplc="520AB5D8">
      <w:start w:val="1"/>
      <w:numFmt w:val="decimal"/>
      <w:pStyle w:val="Akapitzlist"/>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087553"/>
    <w:multiLevelType w:val="hybridMultilevel"/>
    <w:tmpl w:val="854C1DCC"/>
    <w:lvl w:ilvl="0" w:tplc="A6ACB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F6"/>
    <w:rsid w:val="006510F6"/>
    <w:rsid w:val="0074323E"/>
    <w:rsid w:val="00AF5B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B39F3-0E55-42E4-A70B-BF626FBD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5B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5BE5"/>
    <w:pPr>
      <w:numPr>
        <w:numId w:val="1"/>
      </w:numPr>
      <w:spacing w:after="0" w:line="240" w:lineRule="auto"/>
      <w:contextualSpacing/>
    </w:pPr>
    <w:rPr>
      <w:rFonts w:ascii="Arial" w:eastAsia="Times New Roman" w:hAnsi="Arial"/>
      <w:color w:val="000000" w:themeColor="text1"/>
      <w:kern w:val="2"/>
      <w:sz w:val="18"/>
      <w14:ligatures w14:val="standardContextual"/>
    </w:rPr>
  </w:style>
  <w:style w:type="table" w:styleId="Tabela-Siatka">
    <w:name w:val="Table Grid"/>
    <w:basedOn w:val="Standardowy"/>
    <w:uiPriority w:val="39"/>
    <w:rsid w:val="00AF5BE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lowektab">
    <w:name w:val="Naglowek_tab"/>
    <w:basedOn w:val="Normalny"/>
    <w:link w:val="NaglowektabZnak"/>
    <w:qFormat/>
    <w:rsid w:val="00AF5BE5"/>
    <w:pPr>
      <w:spacing w:after="0" w:line="240" w:lineRule="auto"/>
      <w:jc w:val="center"/>
    </w:pPr>
    <w:rPr>
      <w:rFonts w:ascii="Arial" w:hAnsi="Arial"/>
      <w:b/>
      <w:kern w:val="2"/>
      <w:sz w:val="18"/>
      <w14:ligatures w14:val="standardContextual"/>
    </w:rPr>
  </w:style>
  <w:style w:type="character" w:customStyle="1" w:styleId="NaglowektabZnak">
    <w:name w:val="Naglowek_tab Znak"/>
    <w:basedOn w:val="Domylnaczcionkaakapitu"/>
    <w:link w:val="Naglowektab"/>
    <w:rsid w:val="00AF5BE5"/>
    <w:rPr>
      <w:rFonts w:ascii="Arial" w:hAnsi="Arial"/>
      <w:b/>
      <w:kern w:val="2"/>
      <w:sz w:val="18"/>
      <w14:ligatures w14:val="standardContextual"/>
    </w:rPr>
  </w:style>
  <w:style w:type="character" w:styleId="Uwydatnienie">
    <w:name w:val="Emphasis"/>
    <w:basedOn w:val="Domylnaczcionkaakapitu"/>
    <w:uiPriority w:val="20"/>
    <w:qFormat/>
    <w:rsid w:val="00AF5BE5"/>
    <w:rPr>
      <w:rFonts w:cs="Arial"/>
      <w:color w:val="auto"/>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376</Words>
  <Characters>2261</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Lubomska Aleksandra</dc:creator>
  <cp:keywords/>
  <dc:description/>
  <cp:lastModifiedBy>Lubomska Aleksandra</cp:lastModifiedBy>
  <cp:revision>2</cp:revision>
  <dcterms:created xsi:type="dcterms:W3CDTF">2024-07-04T07:58:00Z</dcterms:created>
  <dcterms:modified xsi:type="dcterms:W3CDTF">2024-07-04T08:07:00Z</dcterms:modified>
</cp:coreProperties>
</file>