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-15571</wp:posOffset>
            </wp:positionH>
            <wp:positionV relativeFrom="margin">
              <wp:posOffset>-226695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59757D">
        <w:rPr>
          <w:rFonts w:ascii="Calibri" w:hAnsi="Calibri" w:cs="Calibri"/>
        </w:rPr>
        <w:t>9 stycz</w:t>
      </w:r>
      <w:r w:rsidR="009A2BE1">
        <w:rPr>
          <w:rFonts w:ascii="Calibri" w:hAnsi="Calibri" w:cs="Calibri"/>
        </w:rPr>
        <w:t>ni</w:t>
      </w:r>
      <w:r w:rsidR="004A53C9">
        <w:rPr>
          <w:rFonts w:ascii="Calibri" w:hAnsi="Calibri" w:cs="Calibri"/>
        </w:rPr>
        <w:t xml:space="preserve">a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19796D">
      <w:pPr>
        <w:spacing w:after="480"/>
        <w:ind w:left="6373" w:firstLine="709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602DA">
      <w:pPr>
        <w:spacing w:after="600" w:line="23" w:lineRule="atLeast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57</w:t>
      </w:r>
      <w:r w:rsidRPr="008B32E2">
        <w:rPr>
          <w:rFonts w:cstheme="minorHAnsi"/>
        </w:rPr>
        <w:t>.202</w:t>
      </w:r>
      <w:r w:rsidR="00B74F39">
        <w:rPr>
          <w:rFonts w:cstheme="minorHAnsi"/>
        </w:rPr>
        <w:t>4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 xml:space="preserve">z uwagi na trwające postępowanie wyjaśniające, opinia przed wydaniem decyzji </w:t>
      </w:r>
      <w:r>
        <w:rPr>
          <w:rFonts w:cstheme="minorHAnsi"/>
        </w:rPr>
        <w:t xml:space="preserve"> </w:t>
      </w:r>
      <w:r w:rsidRPr="009E1432">
        <w:rPr>
          <w:rStyle w:val="Pogrubienie"/>
          <w:rFonts w:cstheme="minorHAnsi"/>
          <w:b w:val="0"/>
        </w:rPr>
        <w:t>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>
        <w:rPr>
          <w:rStyle w:val="Pogrubienie"/>
          <w:rFonts w:cstheme="minorHAnsi"/>
          <w:b w:val="0"/>
        </w:rPr>
        <w:t>fermy drobiu powyżej 210 DJP w m. Komorów, gm. Mikstat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ustawowym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>
        <w:rPr>
          <w:rFonts w:cstheme="minorHAnsi"/>
        </w:rPr>
        <w:t xml:space="preserve">14 lutego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Pr="00E57140" w:rsidRDefault="009E1432" w:rsidP="004A53C9">
      <w:pPr>
        <w:spacing w:after="60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993959" w:rsidRPr="00E57140" w:rsidRDefault="00993959" w:rsidP="00420060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E57140" w:rsidRPr="00E57140" w:rsidRDefault="00E57140" w:rsidP="004A53C9">
      <w:pPr>
        <w:spacing w:before="2400"/>
        <w:rPr>
          <w:rFonts w:cstheme="minorHAnsi"/>
          <w:kern w:val="1"/>
          <w:sz w:val="18"/>
          <w:szCs w:val="18"/>
        </w:rPr>
      </w:pPr>
    </w:p>
    <w:p w:rsidR="009E1432" w:rsidRPr="00FB4EC5" w:rsidRDefault="009E1432" w:rsidP="004A53C9">
      <w:pPr>
        <w:spacing w:before="2400"/>
        <w:rPr>
          <w:rFonts w:cstheme="minorHAnsi"/>
          <w:kern w:val="1"/>
          <w:sz w:val="18"/>
          <w:szCs w:val="18"/>
        </w:rPr>
      </w:pPr>
      <w:r w:rsidRPr="00FB4EC5">
        <w:rPr>
          <w:rFonts w:cstheme="minorHAnsi"/>
          <w:kern w:val="1"/>
          <w:sz w:val="18"/>
          <w:szCs w:val="18"/>
        </w:rPr>
        <w:lastRenderedPageBreak/>
        <w:t>Otrzymują:</w:t>
      </w:r>
    </w:p>
    <w:p w:rsidR="0059757D" w:rsidRDefault="0059757D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Wojciech Czarnecki</w:t>
      </w:r>
      <w:r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Burmistrz Miasta i Gminy Mikstat</w:t>
      </w:r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59757D">
        <w:rPr>
          <w:rFonts w:cstheme="minorHAnsi"/>
          <w:color w:val="000000"/>
        </w:rPr>
        <w:t>10</w:t>
      </w:r>
      <w:r w:rsidRPr="00A649CC">
        <w:rPr>
          <w:rFonts w:cstheme="minorHAnsi"/>
          <w:color w:val="000000"/>
        </w:rPr>
        <w:t>.0</w:t>
      </w:r>
      <w:r w:rsidR="0059757D">
        <w:rPr>
          <w:rFonts w:cstheme="minorHAnsi"/>
          <w:color w:val="000000"/>
        </w:rPr>
        <w:t>1</w:t>
      </w:r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bookmarkStart w:id="0" w:name="_GoBack"/>
      <w:bookmarkEnd w:id="0"/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5B" w:rsidRDefault="00827C5B" w:rsidP="007D24CC">
      <w:r>
        <w:separator/>
      </w:r>
    </w:p>
  </w:endnote>
  <w:endnote w:type="continuationSeparator" w:id="0">
    <w:p w:rsidR="00827C5B" w:rsidRDefault="00827C5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5B" w:rsidRDefault="00827C5B" w:rsidP="007D24CC">
      <w:r>
        <w:separator/>
      </w:r>
    </w:p>
  </w:footnote>
  <w:footnote w:type="continuationSeparator" w:id="0">
    <w:p w:rsidR="00827C5B" w:rsidRDefault="00827C5B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9757D" w:rsidRPr="0059757D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9757D" w:rsidRPr="0059757D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F6651"/>
    <w:rsid w:val="001008A1"/>
    <w:rsid w:val="00100F8D"/>
    <w:rsid w:val="00115959"/>
    <w:rsid w:val="00146045"/>
    <w:rsid w:val="001876B0"/>
    <w:rsid w:val="0019796D"/>
    <w:rsid w:val="001B36A6"/>
    <w:rsid w:val="00200B72"/>
    <w:rsid w:val="00210F0D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757D"/>
    <w:rsid w:val="005B4265"/>
    <w:rsid w:val="00610376"/>
    <w:rsid w:val="00624C48"/>
    <w:rsid w:val="00651C6B"/>
    <w:rsid w:val="006B294F"/>
    <w:rsid w:val="006B707F"/>
    <w:rsid w:val="006F4C67"/>
    <w:rsid w:val="00751A32"/>
    <w:rsid w:val="00756668"/>
    <w:rsid w:val="007B4A4E"/>
    <w:rsid w:val="007C2556"/>
    <w:rsid w:val="007D24CC"/>
    <w:rsid w:val="007D4295"/>
    <w:rsid w:val="007F713C"/>
    <w:rsid w:val="00804864"/>
    <w:rsid w:val="00811238"/>
    <w:rsid w:val="00827C5B"/>
    <w:rsid w:val="008811C8"/>
    <w:rsid w:val="00896A56"/>
    <w:rsid w:val="008A08DE"/>
    <w:rsid w:val="008D11A6"/>
    <w:rsid w:val="008F6D34"/>
    <w:rsid w:val="00902C29"/>
    <w:rsid w:val="00933D40"/>
    <w:rsid w:val="00933F4C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69BE"/>
    <w:rsid w:val="00EC79C8"/>
    <w:rsid w:val="00F1014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DA97D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CBEE-8CAE-448A-87BB-5F5CF1BA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7</cp:revision>
  <cp:lastPrinted>2024-07-25T06:28:00Z</cp:lastPrinted>
  <dcterms:created xsi:type="dcterms:W3CDTF">2024-07-25T06:30:00Z</dcterms:created>
  <dcterms:modified xsi:type="dcterms:W3CDTF">2025-01-09T08:34:00Z</dcterms:modified>
</cp:coreProperties>
</file>