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946"/>
        <w:gridCol w:w="30"/>
        <w:gridCol w:w="3708"/>
        <w:gridCol w:w="30"/>
        <w:gridCol w:w="1245"/>
        <w:gridCol w:w="30"/>
        <w:gridCol w:w="3716"/>
        <w:gridCol w:w="30"/>
        <w:gridCol w:w="893"/>
        <w:gridCol w:w="30"/>
        <w:gridCol w:w="83"/>
        <w:gridCol w:w="1295"/>
      </w:tblGrid>
      <w:tr w:rsidR="00535C81" w:rsidRPr="00734BB8" w:rsidTr="00347D3B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347D3B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1916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708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716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3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1916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1916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1916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1916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1916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1916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Hotel REMES sp. z o.o.</w:t>
            </w:r>
          </w:p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ul. Parkowa 48</w:t>
            </w:r>
          </w:p>
          <w:p w:rsidR="00064764" w:rsidRPr="00007AA7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64-330 Opalenica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1916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1916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1916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1916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1916" w:type="dxa"/>
            <w:shd w:val="clear" w:color="auto" w:fill="auto"/>
          </w:tcPr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„ANNA”Spółka Jawna</w:t>
            </w:r>
          </w:p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M. i Z. KUPIJAJ,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Rynek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Wł. Jagiełły 19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1916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60FDF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E5725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1916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 organizowaniui prowadzeniu działalności kulturalnej.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 63-100 Śrem 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2657DD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1916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1916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1916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5444EA" w:rsidRPr="005444EA" w:rsidRDefault="005444EA" w:rsidP="005444EA">
            <w:pPr>
              <w:pStyle w:val="Domylni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6B0447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1916" w:type="dxa"/>
            <w:shd w:val="clear" w:color="auto" w:fill="auto"/>
          </w:tcPr>
          <w:p w:rsidR="00D15154" w:rsidRPr="00D15154" w:rsidRDefault="00D15154" w:rsidP="006B044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15154">
              <w:rPr>
                <w:rFonts w:asciiTheme="minorHAnsi" w:hAnsiTheme="minorHAnsi" w:cstheme="minorHAnsi"/>
                <w:sz w:val="16"/>
                <w:szCs w:val="16"/>
              </w:rPr>
              <w:t xml:space="preserve">uluBIOny hotel &amp; restaurant &amp; event Tomasz Rybarczyk 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ul. Rynek 5A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62-025 Kostrzyn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1916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Poznań,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1916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1916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1916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2657DD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7B7636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47D3B">
              <w:rPr>
                <w:rFonts w:cstheme="minorHAnsi"/>
                <w:iCs/>
                <w:sz w:val="16"/>
                <w:szCs w:val="16"/>
              </w:rPr>
              <w:t>1) 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7B763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47D3B">
              <w:rPr>
                <w:rFonts w:cstheme="minorHAnsi"/>
                <w:iCs/>
                <w:sz w:val="16"/>
                <w:szCs w:val="16"/>
              </w:rPr>
              <w:t>2) 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863C93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63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122A1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0122A1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A6265" w:rsidRPr="000122A1" w:rsidTr="005E572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DKO-II.1710.28.2025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</w:t>
            </w:r>
            <w:bookmarkStart w:id="0" w:name="_GoBack"/>
            <w:bookmarkEnd w:id="0"/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serwacji ołtarza św. Teresy w kościele p.w. św. Jadwigi w Grodzisku Wielkopolskim.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18.08.2025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65" w:rsidRDefault="00FA6265" w:rsidP="00734BB8">
      <w:pPr>
        <w:spacing w:after="0" w:line="240" w:lineRule="auto"/>
      </w:pPr>
      <w:r>
        <w:separator/>
      </w:r>
    </w:p>
  </w:endnote>
  <w:endnote w:type="continuationSeparator" w:id="0">
    <w:p w:rsidR="00FA6265" w:rsidRDefault="00FA6265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65" w:rsidRDefault="00FA6265" w:rsidP="00734BB8">
      <w:pPr>
        <w:spacing w:after="0" w:line="240" w:lineRule="auto"/>
      </w:pPr>
      <w:r>
        <w:separator/>
      </w:r>
    </w:p>
  </w:footnote>
  <w:footnote w:type="continuationSeparator" w:id="0">
    <w:p w:rsidR="00FA6265" w:rsidRDefault="00FA6265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2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2181"/>
    <w:rsid w:val="000352D7"/>
    <w:rsid w:val="0004494E"/>
    <w:rsid w:val="000611DC"/>
    <w:rsid w:val="00064764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508B1"/>
    <w:rsid w:val="00150C0A"/>
    <w:rsid w:val="00157922"/>
    <w:rsid w:val="001660BD"/>
    <w:rsid w:val="00170041"/>
    <w:rsid w:val="0017043F"/>
    <w:rsid w:val="001B23C3"/>
    <w:rsid w:val="001C1DC4"/>
    <w:rsid w:val="001C360C"/>
    <w:rsid w:val="001E31F2"/>
    <w:rsid w:val="001F2DA0"/>
    <w:rsid w:val="001F3EBF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57DD"/>
    <w:rsid w:val="0028367F"/>
    <w:rsid w:val="002854A9"/>
    <w:rsid w:val="002B63C9"/>
    <w:rsid w:val="002C708C"/>
    <w:rsid w:val="002C7282"/>
    <w:rsid w:val="002D6A99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60FDF"/>
    <w:rsid w:val="00364650"/>
    <w:rsid w:val="00371E3C"/>
    <w:rsid w:val="0037383B"/>
    <w:rsid w:val="003748A1"/>
    <w:rsid w:val="00376882"/>
    <w:rsid w:val="003800A8"/>
    <w:rsid w:val="00391134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15503"/>
    <w:rsid w:val="0041664E"/>
    <w:rsid w:val="00430634"/>
    <w:rsid w:val="00437652"/>
    <w:rsid w:val="004649E1"/>
    <w:rsid w:val="00475DF8"/>
    <w:rsid w:val="004834AB"/>
    <w:rsid w:val="0048484F"/>
    <w:rsid w:val="00486549"/>
    <w:rsid w:val="00497C35"/>
    <w:rsid w:val="004A58B8"/>
    <w:rsid w:val="004C3CBF"/>
    <w:rsid w:val="004D5279"/>
    <w:rsid w:val="004E1CB7"/>
    <w:rsid w:val="004E24C7"/>
    <w:rsid w:val="004E7380"/>
    <w:rsid w:val="004F785A"/>
    <w:rsid w:val="0050547B"/>
    <w:rsid w:val="005078A9"/>
    <w:rsid w:val="00514866"/>
    <w:rsid w:val="00516CBC"/>
    <w:rsid w:val="00516D5F"/>
    <w:rsid w:val="00521370"/>
    <w:rsid w:val="00522521"/>
    <w:rsid w:val="005276D5"/>
    <w:rsid w:val="00534E0C"/>
    <w:rsid w:val="00535C81"/>
    <w:rsid w:val="005444EA"/>
    <w:rsid w:val="00545CB7"/>
    <w:rsid w:val="00545F1D"/>
    <w:rsid w:val="00553D85"/>
    <w:rsid w:val="005558A3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603B70"/>
    <w:rsid w:val="00606ECC"/>
    <w:rsid w:val="00615A9B"/>
    <w:rsid w:val="00617F4F"/>
    <w:rsid w:val="006233C9"/>
    <w:rsid w:val="00626BB3"/>
    <w:rsid w:val="00637620"/>
    <w:rsid w:val="00637B3A"/>
    <w:rsid w:val="0064561B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37805"/>
    <w:rsid w:val="00B50BC9"/>
    <w:rsid w:val="00B5738A"/>
    <w:rsid w:val="00B6143C"/>
    <w:rsid w:val="00B61945"/>
    <w:rsid w:val="00B707B1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5645D"/>
    <w:rsid w:val="00C61B36"/>
    <w:rsid w:val="00C67E15"/>
    <w:rsid w:val="00C85A32"/>
    <w:rsid w:val="00C87D31"/>
    <w:rsid w:val="00C90ED3"/>
    <w:rsid w:val="00CA54FB"/>
    <w:rsid w:val="00CC1B34"/>
    <w:rsid w:val="00CC2DB0"/>
    <w:rsid w:val="00CC3E40"/>
    <w:rsid w:val="00CC630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3053"/>
    <w:rsid w:val="00D6333E"/>
    <w:rsid w:val="00D644A3"/>
    <w:rsid w:val="00D65897"/>
    <w:rsid w:val="00D741C4"/>
    <w:rsid w:val="00D764A8"/>
    <w:rsid w:val="00D80073"/>
    <w:rsid w:val="00D921CB"/>
    <w:rsid w:val="00D94EFF"/>
    <w:rsid w:val="00DB39CC"/>
    <w:rsid w:val="00DB3D92"/>
    <w:rsid w:val="00DB537D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D407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14</Pages>
  <Words>6255</Words>
  <Characters>37535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Chrzanowska Ewa</cp:lastModifiedBy>
  <cp:revision>405</cp:revision>
  <dcterms:created xsi:type="dcterms:W3CDTF">2024-02-20T12:59:00Z</dcterms:created>
  <dcterms:modified xsi:type="dcterms:W3CDTF">2025-10-03T11:23:00Z</dcterms:modified>
</cp:coreProperties>
</file>