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0"/>
        <w:gridCol w:w="3511"/>
        <w:gridCol w:w="30"/>
        <w:gridCol w:w="1240"/>
        <w:gridCol w:w="30"/>
        <w:gridCol w:w="3533"/>
        <w:gridCol w:w="60"/>
        <w:gridCol w:w="886"/>
        <w:gridCol w:w="30"/>
        <w:gridCol w:w="52"/>
        <w:gridCol w:w="1298"/>
      </w:tblGrid>
      <w:tr w:rsidR="00535C81" w:rsidRPr="00734BB8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542408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2317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511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533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2317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2317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2317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2317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2317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2317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 Sp. z.o.o. "ul. Parkowa 48 64-330 OpalenicaHotel REMES****ul. Parkowa 48 64-330 Opalenica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2317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2317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2317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8222.20.2025</w:t>
            </w:r>
          </w:p>
        </w:tc>
        <w:tc>
          <w:tcPr>
            <w:tcW w:w="2317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 xml:space="preserve">Centrum Sportu i Rekreacji Wodnik </w:t>
            </w: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16.04.2025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lastRenderedPageBreak/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2317" w:type="dxa"/>
            <w:shd w:val="clear" w:color="auto" w:fill="auto"/>
          </w:tcPr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„Anna” Spółka Jawna M. i Z. Kupijaj, ul. Rynek Wł. Jagiełły 19 63-520 Grabów nad Prosną Hotel STYLOWY**</w:t>
            </w:r>
          </w:p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ul. Rynek Wł. Jagiełły 19</w:t>
            </w:r>
          </w:p>
          <w:p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2317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360FDF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do których obiekt został zaszeregowany oraz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2317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ul. Malczewskiego 1 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63-100 Śrem 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2317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2317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lastRenderedPageBreak/>
              <w:t>63-000 Środa Wielkopolska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lastRenderedPageBreak/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2317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 xml:space="preserve">„Budowę elektrowni fotowoltaicznej o łącznej mocy do 1 MW wraz z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lastRenderedPageBreak/>
              <w:t>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Problemowa, w zakresie prawidłowości wykorzystania dotacji, otrzymanej za rok 2024 na 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02.07.2025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2317" w:type="dxa"/>
            <w:shd w:val="clear" w:color="auto" w:fill="auto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 hotel &amp; restaurant &amp; event Tomasz Rybarczyk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5a, 62-025 Kostrzyn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ulubBIOny***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62–025 Kostrzyn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2317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542408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2317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2317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2317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Nietążkowo, Dudycza 4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lastRenderedPageBreak/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lastRenderedPageBreak/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gastronomicznych, ustalonych dla rodzaju i kategorii,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lastRenderedPageBreak/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542408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63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56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5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542408">
        <w:trPr>
          <w:trHeight w:val="648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lastRenderedPageBreak/>
              <w:t xml:space="preserve">ul. Kolska 55a </w:t>
            </w:r>
          </w:p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02075A" w:rsidRPr="00D02E7F" w:rsidRDefault="0002075A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02075A">
              <w:rPr>
                <w:rFonts w:cstheme="minorHAnsi"/>
                <w:bCs/>
                <w:sz w:val="16"/>
                <w:szCs w:val="18"/>
              </w:rPr>
              <w:lastRenderedPageBreak/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</w:t>
            </w:r>
            <w:r w:rsidRPr="0002075A">
              <w:rPr>
                <w:rFonts w:cstheme="minorHAnsi"/>
                <w:bCs/>
                <w:sz w:val="16"/>
                <w:szCs w:val="18"/>
              </w:rPr>
              <w:lastRenderedPageBreak/>
              <w:t xml:space="preserve">wymagań sanitarnych </w:t>
            </w:r>
            <w:r w:rsidRPr="0002075A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lastRenderedPageBreak/>
              <w:t>08.08.2025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r w:rsidR="00652BD6">
              <w:rPr>
                <w:rFonts w:cstheme="minorHAnsi"/>
                <w:bCs/>
                <w:sz w:val="16"/>
                <w:szCs w:val="16"/>
              </w:rPr>
              <w:t>Poco Loco Adventure w Poznaniu”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w 2024 roku, na podstawie umowy nr 27/DK/2024 z 30.07.2024 roku, na realizację zadania pn. Ogólnopolskie Mistrzostwa Slamu Poetyckiego – współpraca wydawnicza i animatorska z Wojewódzką Biblioteką Publiczną i Centrum Animacji Kultury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Restaruacja "Bachus" Bistro i Pokoje Gościnne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Filip Zywert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Główna 74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47AAE" w:rsidRPr="00147AAE" w:rsidRDefault="00652BD6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563" w:type="dxa"/>
            <w:gridSpan w:val="2"/>
            <w:shd w:val="clear" w:color="auto" w:fill="auto"/>
          </w:tcPr>
          <w:p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</w:t>
            </w:r>
            <w:r w:rsidRPr="003A130A">
              <w:rPr>
                <w:rFonts w:cstheme="minorHAnsi"/>
                <w:bCs/>
                <w:sz w:val="16"/>
                <w:szCs w:val="16"/>
              </w:rPr>
              <w:br/>
              <w:t xml:space="preserve">w zakresie prawidłowości wykorzystania dotacji, otrzymanej za rok 2024 na podstawie umowy nr 5/DS/SP/2024 z 19.02.2024 r. na realizację zadania </w:t>
            </w:r>
            <w:r w:rsidRPr="003A130A">
              <w:rPr>
                <w:rFonts w:cstheme="minorHAnsi"/>
                <w:bCs/>
                <w:sz w:val="16"/>
                <w:szCs w:val="16"/>
              </w:rPr>
              <w:lastRenderedPageBreak/>
              <w:t xml:space="preserve">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lastRenderedPageBreak/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5E6CBA"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678EE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B678EE" w:rsidRPr="00B678EE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F711C" w:rsidP="001F711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1F711C" w:rsidRPr="001F711C" w:rsidRDefault="002A3DB5" w:rsidP="001F711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="001F711C"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614C2B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1F711C" w:rsidRPr="001F711C" w:rsidRDefault="001F711C" w:rsidP="00B76F0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F711C" w:rsidRPr="001F711C" w:rsidRDefault="00B76F07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</w:tcPr>
          <w:p w:rsidR="001F711C" w:rsidRPr="001F711C" w:rsidRDefault="001F711C" w:rsidP="002A3D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:rsidR="001F711C" w:rsidRPr="001F711C" w:rsidRDefault="001F711C" w:rsidP="002A3DB5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:rsidR="001F711C" w:rsidRPr="001F711C" w:rsidRDefault="001F711C" w:rsidP="002A3DB5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1F711C" w:rsidRPr="001F711C" w:rsidRDefault="001F711C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1F711C" w:rsidRP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:rsidR="001F711C" w:rsidRPr="001F711C" w:rsidRDefault="001F711C" w:rsidP="001F711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E3424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DE3424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E3424" w:rsidRPr="00DE3424" w:rsidRDefault="002A3DB5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="00DE3424"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 w:rsidR="00505E78"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 w:rsidR="00D6293E">
              <w:rPr>
                <w:rFonts w:cstheme="minorHAnsi"/>
                <w:sz w:val="16"/>
                <w:szCs w:val="16"/>
              </w:rPr>
              <w:t>*****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:rsidR="00DE3424" w:rsidRPr="00DE3424" w:rsidRDefault="00DE3424" w:rsidP="00DE342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60-813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E3424" w:rsidRPr="00DE3424" w:rsidRDefault="00B76F07" w:rsidP="00DE3424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E3424" w:rsidRPr="00DE3424" w:rsidRDefault="00B76F07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Krajna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 Piasta, 77-400 Złotów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aleja Piasta</w:t>
            </w:r>
          </w:p>
          <w:p w:rsidR="00145BEC" w:rsidRPr="00145BEC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77-400 Złotów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145BEC"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Molino Sp. z o.o.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Dąbrowskiego 4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64-920 Piła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 w:rsidR="00D6293E"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Żeromskiego 90</w:t>
            </w:r>
          </w:p>
          <w:p w:rsidR="00145BEC" w:rsidRPr="005E6CBA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76F07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s.k.a.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:rsidR="009E0E8B" w:rsidRPr="009E0E8B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E0E8B" w:rsidRPr="009E0E8B" w:rsidRDefault="009E0E8B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768A2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:rsidR="000768A2" w:rsidRPr="000768A2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0768A2" w:rsidRPr="000768A2" w:rsidRDefault="000768A2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0768A2" w:rsidRPr="000768A2" w:rsidRDefault="00A93C73" w:rsidP="000768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768A2" w:rsidRPr="000768A2" w:rsidRDefault="00A93C73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61 – 894 Poznań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390DF6"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64E3E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Dądaj Dorota,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264E3E" w:rsidRPr="00264E3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264E3E" w:rsidRPr="00264E3E" w:rsidRDefault="00264E3E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spełniania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264E3E" w:rsidRPr="00264E3E" w:rsidRDefault="00A93C73" w:rsidP="00A93C7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08.08.2025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 xml:space="preserve">Obiekt, ze względu na to, że przyciski sterujące windą nie były opisane w sposób czytelny dla niewidzących, </w:t>
            </w:r>
            <w:r w:rsidRPr="00264E3E">
              <w:rPr>
                <w:rFonts w:cstheme="minorHAnsi"/>
                <w:iCs/>
                <w:sz w:val="16"/>
                <w:szCs w:val="16"/>
              </w:rPr>
              <w:lastRenderedPageBreak/>
              <w:t>nie spełniał w pełnym zakresie minimalnych wymagań w zakresie dostosowania obiektu hotelarskiego do potrzeb osób niepełnosprawnych.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4E3E" w:rsidRPr="00264E3E" w:rsidRDefault="00A93C73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A93C7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:rsidR="00A93C73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:rsidR="0046048A" w:rsidRPr="0046048A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6048A" w:rsidRPr="0046048A" w:rsidRDefault="0046048A" w:rsidP="00A93C73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Kontrola problemowa w zakresie spełniania przez obiekt hotelarski wymagań co do wyposażenia i zakresu świadczonych usług,        w tym także gastronomicznych, ustalonych dla rodzaju i kategorii, do których obiekt został zaszeregowany oraz wymagań san</w:t>
            </w:r>
            <w:r w:rsidR="00A93C7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A93C7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46048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A93C73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46048A"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:rsidR="0046048A" w:rsidRPr="0046048A" w:rsidRDefault="0046048A" w:rsidP="004604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4781D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 Sp. z.o.o.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4781D" w:rsidRPr="00C4781D" w:rsidRDefault="00C4781D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C4781D" w:rsidRPr="00C4781D" w:rsidRDefault="00A93C73" w:rsidP="00C4781D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4781D" w:rsidRPr="00C4781D" w:rsidRDefault="00A93C73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 Artykułów Elektrycznych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PH “ART.-EL” J. Kościuch i Wspólnicy Sp.j. “</w:t>
            </w:r>
          </w:p>
          <w:p w:rsidR="00423B41" w:rsidRPr="00A93C73" w:rsidRDefault="00A93C73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Plac Zamkowy 10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r w:rsidR="00A93C73">
              <w:rPr>
                <w:rFonts w:asciiTheme="minorHAnsi" w:hAnsiTheme="minorHAnsi" w:cstheme="minorHAnsi"/>
                <w:sz w:val="16"/>
                <w:szCs w:val="16"/>
              </w:rPr>
              <w:t>Cukrownicza 4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:rsidR="00423B41" w:rsidRPr="00423B41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23B41" w:rsidRPr="00423B41" w:rsidRDefault="00423B41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1. Hotel nie spełniał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minimalnych wymagań dodatkowych w zakresie dostosowania obiektu hotelarskiego do potrzeb osób niepełnosprawnych, określonych w załączniku nr 8 Rozporządzenia Ministra Gospodarki i Pracy z dnia 19 sierpnia 2004 r. w sprawie obiektów hotelarskich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i innych obiektów, w których są świadczone usługi hotelarskie;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2. Przedsiębiorca nie zamieścił informacji o przystosowaniu obiektu hotelarskiego do obsługi osób niepełnosprawnych,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618A0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5618A0" w:rsidRPr="005618A0" w:rsidRDefault="00A93C73" w:rsidP="005618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18A0" w:rsidRPr="005618A0" w:rsidRDefault="00A93C73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Wielkopolski Związek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 Nożnej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Warmińska 1</w:t>
            </w:r>
          </w:p>
          <w:p w:rsidR="005618A0" w:rsidRPr="00423B41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60-622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5618A0" w:rsidRPr="00423B41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CB434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B434A" w:rsidRPr="005618A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 Przedsiębiorstwo Handlowo Usługowo Produkcyjne „Arpis” S.A.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Przemysłowa 19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61-579 Poznań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ul. Gajowa  12</w:t>
            </w:r>
          </w:p>
          <w:p w:rsidR="00CB434A" w:rsidRPr="005618A0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60 – 815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B434A" w:rsidRPr="005618A0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 Łukasz Arentowski ul. Witkowska 1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 – 039 Poznań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Dolna Wilda 8</w:t>
            </w:r>
          </w:p>
          <w:p w:rsidR="00CB434A" w:rsidRPr="00423B41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61-552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D6733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E3453" w:rsidRPr="005618A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DKO-II.8222.63.2025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B&amp;B Hotels Polska Sp. z o.o.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Aleja Jana Pawła II 25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00-854 Warszawa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B&amp;B POZNAŃ OLD TOWN***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Plac Wolności 16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61-738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E345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E3453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DKO-II.8222.71.2025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ESSENDI POLAND  S.A.,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ul. Złota 59, 00-120 Warszawa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Hotel NOVOTEL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POZNAŃ CENTRUM****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Pl. Andersa 1</w:t>
            </w:r>
          </w:p>
          <w:p w:rsidR="00531C50" w:rsidRPr="00531C50" w:rsidRDefault="00531C50" w:rsidP="004C68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61-898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31C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31C5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31C50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DKO-II.8222.70.2025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542408" w:rsidRDefault="00542408" w:rsidP="0054240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2408">
              <w:rPr>
                <w:rFonts w:eastAsia="Times New Roman" w:cstheme="minorHAnsi"/>
                <w:sz w:val="16"/>
                <w:szCs w:val="16"/>
                <w:lang w:eastAsia="pl-PL"/>
              </w:rPr>
              <w:t>Hotel Kaliski Henryk Kaliski</w:t>
            </w:r>
          </w:p>
          <w:p w:rsidR="00542408" w:rsidRPr="00542408" w:rsidRDefault="00542408" w:rsidP="0054240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240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29, </w:t>
            </w:r>
            <w:r w:rsidRPr="00542408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60-718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42408" w:rsidRPr="00542408" w:rsidRDefault="00542408" w:rsidP="0054240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>02.12.2025 r.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DKO-II.1711.14.2025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Parowozownia Wolsztyn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Fabryczna 1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64-200 Wolsztyn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 2024 rok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>28.10.-19.11.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>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>1.w dokumentach postępowania o udzielenie zamówienia  publicznego nie wskazano powodów niedokonania podziału zamówienia na części, co było niezgodne z art. 91 ust. 2 ustawy Pzp,</w:t>
            </w:r>
          </w:p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lastRenderedPageBreak/>
              <w:t>2. zamawiający zwrócił 70% zabezpieczenia należytego wykonania umowy 19 dni po terminie określonym w art. 453 ust. 1 ustawy Pzp,</w:t>
            </w:r>
          </w:p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>3.zamawiający zamieścił w BZP ogłoszenie o wykonaniu umowy, o którym mowa w art. 267 ust. 2 pkt 8, 20 dni po terminie określonym w art. 448 ustawy Pzp.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lastRenderedPageBreak/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92FA4" w:rsidRPr="00423B41" w:rsidTr="00D92FA4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bookmarkStart w:id="0" w:name="_GoBack" w:colFirst="0" w:colLast="6"/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t>DKO-II.44.2.2025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„Zatrudnianie pracowników IZ FEW z PT FST”, realizowanego w ramach Priorytetu 13 Pomoc Techniczna (FST) programu Fundusze Europejskie dla Wielkopolski 2021-2027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od 14.11.2025 r.</w:t>
            </w:r>
          </w:p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</w:rPr>
              <w:t>do 15.12.2025 r.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bookmarkEnd w:id="0"/>
      <w:tr w:rsidR="00D92FA4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</w:p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4A" w:rsidRDefault="00CB434A" w:rsidP="00734BB8">
      <w:pPr>
        <w:spacing w:after="0" w:line="240" w:lineRule="auto"/>
      </w:pPr>
      <w:r>
        <w:separator/>
      </w:r>
    </w:p>
  </w:endnote>
  <w:end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4A" w:rsidRDefault="00CB434A" w:rsidP="00734BB8">
      <w:pPr>
        <w:spacing w:after="0" w:line="240" w:lineRule="auto"/>
      </w:pPr>
      <w:r>
        <w:separator/>
      </w:r>
    </w:p>
  </w:footnote>
  <w:foot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075A"/>
    <w:rsid w:val="00022181"/>
    <w:rsid w:val="000352D7"/>
    <w:rsid w:val="0004494E"/>
    <w:rsid w:val="000611DC"/>
    <w:rsid w:val="00064764"/>
    <w:rsid w:val="000768A2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922"/>
    <w:rsid w:val="001660BD"/>
    <w:rsid w:val="00170041"/>
    <w:rsid w:val="0017043F"/>
    <w:rsid w:val="00187484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0E8B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6F07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2FA4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8550</Words>
  <Characters>51301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33</cp:revision>
  <dcterms:created xsi:type="dcterms:W3CDTF">2025-11-27T14:27:00Z</dcterms:created>
  <dcterms:modified xsi:type="dcterms:W3CDTF">2025-12-19T12:02:00Z</dcterms:modified>
</cp:coreProperties>
</file>