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CF" w:rsidRPr="00A04306" w:rsidRDefault="00A434CF" w:rsidP="00A434CF">
      <w:pPr>
        <w:tabs>
          <w:tab w:val="left" w:pos="5520"/>
          <w:tab w:val="right" w:pos="9072"/>
        </w:tabs>
        <w:suppressAutoHyphens/>
        <w:ind w:left="5529" w:hanging="709"/>
        <w:jc w:val="left"/>
        <w:rPr>
          <w:rFonts w:eastAsia="Times New Roman" w:cs="Times New Roman"/>
          <w:szCs w:val="20"/>
          <w:lang w:eastAsia="ar-SA" w:bidi="ar-SA"/>
        </w:rPr>
      </w:pPr>
      <w:r>
        <w:rPr>
          <w:noProof/>
          <w:lang w:bidi="ar-SA"/>
        </w:rPr>
        <w:drawing>
          <wp:anchor distT="0" distB="0" distL="114935" distR="114935" simplePos="0" relativeHeight="251659264" behindDoc="0" locked="0" layoutInCell="1" allowOverlap="0" wp14:anchorId="21627708" wp14:editId="597D438C">
            <wp:simplePos x="0" y="0"/>
            <wp:positionH relativeFrom="column">
              <wp:posOffset>490855</wp:posOffset>
            </wp:positionH>
            <wp:positionV relativeFrom="paragraph">
              <wp:posOffset>28575</wp:posOffset>
            </wp:positionV>
            <wp:extent cx="683260" cy="7308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83260" cy="730885"/>
                    </a:xfrm>
                    <a:prstGeom prst="rect">
                      <a:avLst/>
                    </a:prstGeom>
                  </pic:spPr>
                </pic:pic>
              </a:graphicData>
            </a:graphic>
          </wp:anchor>
        </w:drawing>
      </w:r>
      <w:r>
        <w:rPr>
          <w:rFonts w:eastAsia="Times New Roman" w:cs="Times New Roman"/>
          <w:i/>
          <w:szCs w:val="20"/>
          <w:lang w:eastAsia="ar-SA" w:bidi="ar-SA"/>
        </w:rPr>
        <w:t>Z</w:t>
      </w:r>
      <w:r w:rsidRPr="00A04306">
        <w:rPr>
          <w:rFonts w:eastAsia="Times New Roman" w:cs="Times New Roman"/>
          <w:szCs w:val="20"/>
          <w:lang w:eastAsia="ar-SA" w:bidi="ar-SA"/>
        </w:rPr>
        <w:t>ałącznik nr 1 do uchwały Nr 1532/2025</w:t>
      </w:r>
    </w:p>
    <w:p w:rsidR="00A434CF" w:rsidRPr="00A04306" w:rsidRDefault="00A434CF" w:rsidP="00A434CF">
      <w:pPr>
        <w:tabs>
          <w:tab w:val="left" w:pos="5520"/>
          <w:tab w:val="right" w:pos="9072"/>
        </w:tabs>
        <w:suppressAutoHyphens/>
        <w:ind w:left="5529" w:hanging="709"/>
        <w:jc w:val="left"/>
        <w:rPr>
          <w:rFonts w:eastAsia="Times New Roman" w:cs="Times New Roman"/>
          <w:szCs w:val="20"/>
          <w:lang w:eastAsia="ar-SA" w:bidi="ar-SA"/>
        </w:rPr>
      </w:pPr>
      <w:r w:rsidRPr="00A04306">
        <w:rPr>
          <w:rFonts w:eastAsia="Times New Roman" w:cs="Times New Roman"/>
          <w:szCs w:val="20"/>
          <w:lang w:eastAsia="ar-SA" w:bidi="ar-SA"/>
        </w:rPr>
        <w:t>Zarządu Województwa Wielkopolskiego</w:t>
      </w:r>
    </w:p>
    <w:p w:rsidR="00A434CF" w:rsidRPr="00A04306" w:rsidRDefault="00A434CF" w:rsidP="00A434CF">
      <w:pPr>
        <w:tabs>
          <w:tab w:val="left" w:pos="5520"/>
          <w:tab w:val="right" w:pos="9072"/>
        </w:tabs>
        <w:suppressAutoHyphens/>
        <w:ind w:left="5529" w:hanging="709"/>
        <w:jc w:val="left"/>
        <w:rPr>
          <w:rFonts w:eastAsia="Times New Roman" w:cs="Times New Roman"/>
          <w:szCs w:val="20"/>
          <w:lang w:eastAsia="ar-SA" w:bidi="ar-SA"/>
        </w:rPr>
      </w:pPr>
      <w:r w:rsidRPr="00A04306">
        <w:rPr>
          <w:rFonts w:eastAsia="Times New Roman" w:cs="Times New Roman"/>
          <w:szCs w:val="20"/>
          <w:lang w:eastAsia="ar-SA" w:bidi="ar-SA"/>
        </w:rPr>
        <w:t>z dnia 20 marca 2025 r.</w:t>
      </w:r>
    </w:p>
    <w:p w:rsidR="00A434CF" w:rsidRDefault="00A434CF" w:rsidP="00A434CF">
      <w:pPr>
        <w:suppressAutoHyphens/>
        <w:jc w:val="center"/>
        <w:rPr>
          <w:rFonts w:ascii="Times New Roman" w:eastAsia="Times New Roman" w:hAnsi="Times New Roman" w:cs="Times New Roman"/>
          <w:szCs w:val="20"/>
          <w:lang w:eastAsia="ar-SA" w:bidi="ar-SA"/>
        </w:rPr>
      </w:pPr>
    </w:p>
    <w:p w:rsidR="00A434CF" w:rsidRDefault="00A434CF" w:rsidP="00A434CF">
      <w:pPr>
        <w:suppressAutoHyphens/>
        <w:jc w:val="center"/>
        <w:rPr>
          <w:rFonts w:ascii="Times New Roman" w:eastAsia="Times New Roman" w:hAnsi="Times New Roman" w:cs="Times New Roman"/>
          <w:szCs w:val="20"/>
          <w:lang w:eastAsia="ar-SA"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5"/>
        <w:gridCol w:w="7717"/>
      </w:tblGrid>
      <w:tr w:rsidR="00A434CF" w:rsidTr="0056407B">
        <w:tc>
          <w:tcPr>
            <w:tcW w:w="1384" w:type="dxa"/>
            <w:tcBorders>
              <w:top w:val="nil"/>
              <w:left w:val="nil"/>
              <w:bottom w:val="nil"/>
              <w:right w:val="nil"/>
            </w:tcBorders>
          </w:tcPr>
          <w:p w:rsidR="00A434CF" w:rsidRDefault="00A434CF" w:rsidP="0056407B">
            <w:pPr>
              <w:keepNext/>
              <w:numPr>
                <w:ilvl w:val="3"/>
                <w:numId w:val="1"/>
              </w:numPr>
              <w:tabs>
                <w:tab w:val="clear" w:pos="0"/>
              </w:tabs>
              <w:suppressAutoHyphens/>
              <w:jc w:val="center"/>
              <w:outlineLvl w:val="3"/>
              <w:rPr>
                <w:rFonts w:ascii="Arial" w:eastAsia="Times New Roman" w:hAnsi="Arial" w:cs="Times New Roman"/>
                <w:b/>
                <w:szCs w:val="20"/>
                <w:lang w:eastAsia="ar-SA" w:bidi="ar-SA"/>
              </w:rPr>
            </w:pPr>
          </w:p>
          <w:p w:rsidR="00A434CF" w:rsidRDefault="00A434CF" w:rsidP="0056407B">
            <w:pPr>
              <w:suppressAutoHyphens/>
              <w:jc w:val="center"/>
              <w:rPr>
                <w:rFonts w:ascii="Times New Roman" w:eastAsia="Times New Roman" w:hAnsi="Times New Roman" w:cs="Times New Roman"/>
                <w:szCs w:val="20"/>
                <w:lang w:eastAsia="ar-SA" w:bidi="ar-SA"/>
              </w:rPr>
            </w:pPr>
          </w:p>
          <w:p w:rsidR="00A434CF" w:rsidRDefault="00A434CF" w:rsidP="0056407B">
            <w:pPr>
              <w:suppressAutoHyphens/>
              <w:jc w:val="center"/>
              <w:rPr>
                <w:rFonts w:ascii="Times New Roman" w:eastAsia="Times New Roman" w:hAnsi="Times New Roman" w:cs="Times New Roman"/>
                <w:szCs w:val="20"/>
                <w:lang w:eastAsia="ar-SA" w:bidi="ar-SA"/>
              </w:rPr>
            </w:pPr>
          </w:p>
          <w:p w:rsidR="00A434CF" w:rsidRDefault="00A434CF" w:rsidP="0056407B">
            <w:pPr>
              <w:suppressAutoHyphens/>
              <w:jc w:val="center"/>
              <w:rPr>
                <w:rFonts w:ascii="Times New Roman" w:eastAsia="Times New Roman" w:hAnsi="Times New Roman" w:cs="Times New Roman"/>
                <w:szCs w:val="20"/>
                <w:lang w:eastAsia="ar-SA" w:bidi="ar-SA"/>
              </w:rPr>
            </w:pPr>
          </w:p>
          <w:p w:rsidR="00A434CF" w:rsidRDefault="00A434CF" w:rsidP="0056407B">
            <w:pPr>
              <w:suppressAutoHyphens/>
              <w:jc w:val="center"/>
              <w:rPr>
                <w:rFonts w:ascii="Times New Roman" w:eastAsia="Times New Roman" w:hAnsi="Times New Roman" w:cs="Times New Roman"/>
                <w:szCs w:val="20"/>
                <w:lang w:eastAsia="ar-SA" w:bidi="ar-SA"/>
              </w:rPr>
            </w:pPr>
          </w:p>
        </w:tc>
        <w:tc>
          <w:tcPr>
            <w:tcW w:w="7827" w:type="dxa"/>
            <w:tcBorders>
              <w:top w:val="nil"/>
              <w:left w:val="nil"/>
              <w:bottom w:val="nil"/>
              <w:right w:val="nil"/>
            </w:tcBorders>
          </w:tcPr>
          <w:p w:rsidR="00A434CF" w:rsidRDefault="00A434CF" w:rsidP="0056407B">
            <w:pPr>
              <w:keepNext/>
              <w:numPr>
                <w:ilvl w:val="3"/>
                <w:numId w:val="1"/>
              </w:numPr>
              <w:suppressAutoHyphens/>
              <w:jc w:val="center"/>
              <w:outlineLvl w:val="3"/>
              <w:rPr>
                <w:rFonts w:ascii="Arial" w:eastAsia="Times New Roman" w:hAnsi="Arial" w:cs="Times New Roman"/>
                <w:b/>
                <w:sz w:val="32"/>
                <w:szCs w:val="20"/>
                <w:lang w:eastAsia="ar-SA" w:bidi="ar-SA"/>
              </w:rPr>
            </w:pPr>
            <w:r>
              <w:rPr>
                <w:rFonts w:ascii="Arial" w:eastAsia="Times New Roman" w:hAnsi="Arial" w:cs="Times New Roman"/>
                <w:b/>
                <w:sz w:val="32"/>
                <w:szCs w:val="20"/>
                <w:lang w:eastAsia="ar-SA" w:bidi="ar-SA"/>
              </w:rPr>
              <w:t>OGŁOSZENIE  O  PRZETARGU</w:t>
            </w:r>
          </w:p>
          <w:p w:rsidR="00A434CF" w:rsidRDefault="00A434CF" w:rsidP="0056407B">
            <w:pPr>
              <w:suppressAutoHyphens/>
              <w:jc w:val="center"/>
              <w:rPr>
                <w:rFonts w:ascii="Arial" w:eastAsia="Times New Roman" w:hAnsi="Arial" w:cs="Times New Roman"/>
                <w:b/>
                <w:sz w:val="32"/>
                <w:szCs w:val="20"/>
                <w:lang w:eastAsia="ar-SA" w:bidi="ar-SA"/>
              </w:rPr>
            </w:pPr>
          </w:p>
          <w:p w:rsidR="00A434CF" w:rsidRDefault="00A434CF" w:rsidP="0056407B">
            <w:pPr>
              <w:keepNext/>
              <w:numPr>
                <w:ilvl w:val="3"/>
                <w:numId w:val="1"/>
              </w:numPr>
              <w:suppressAutoHyphens/>
              <w:jc w:val="center"/>
              <w:outlineLvl w:val="3"/>
              <w:rPr>
                <w:rFonts w:ascii="Arial" w:eastAsia="Times New Roman" w:hAnsi="Arial" w:cs="Times New Roman"/>
                <w:b/>
                <w:color w:val="FF0000"/>
                <w:sz w:val="32"/>
                <w:szCs w:val="20"/>
                <w:lang w:eastAsia="ar-SA" w:bidi="ar-SA"/>
              </w:rPr>
            </w:pPr>
            <w:r>
              <w:rPr>
                <w:rFonts w:ascii="Arial" w:eastAsia="Times New Roman" w:hAnsi="Arial" w:cs="Times New Roman"/>
                <w:b/>
                <w:color w:val="FF0000"/>
                <w:sz w:val="32"/>
                <w:szCs w:val="20"/>
                <w:lang w:eastAsia="ar-SA" w:bidi="ar-SA"/>
              </w:rPr>
              <w:t>ZARZĄD WOJEWÓDZTWA WIELKOPOLSKIEGO</w:t>
            </w:r>
          </w:p>
          <w:p w:rsidR="00A434CF" w:rsidRDefault="00A434CF" w:rsidP="0056407B">
            <w:pPr>
              <w:suppressAutoHyphens/>
              <w:jc w:val="center"/>
              <w:rPr>
                <w:rFonts w:ascii="Times New Roman" w:eastAsia="Times New Roman" w:hAnsi="Times New Roman" w:cs="Times New Roman"/>
                <w:szCs w:val="20"/>
                <w:lang w:eastAsia="ar-SA" w:bidi="ar-SA"/>
              </w:rPr>
            </w:pPr>
          </w:p>
          <w:p w:rsidR="00A434CF" w:rsidRDefault="00A434CF" w:rsidP="0056407B">
            <w:pPr>
              <w:suppressAutoHyphens/>
              <w:jc w:val="center"/>
              <w:rPr>
                <w:rFonts w:ascii="Arial" w:eastAsia="Times New Roman" w:hAnsi="Arial" w:cs="Times New Roman"/>
                <w:b/>
                <w:szCs w:val="20"/>
                <w:lang w:eastAsia="ar-SA" w:bidi="ar-SA"/>
              </w:rPr>
            </w:pPr>
            <w:r>
              <w:rPr>
                <w:rFonts w:ascii="Arial" w:eastAsia="Times New Roman" w:hAnsi="Arial" w:cs="Times New Roman"/>
                <w:b/>
                <w:szCs w:val="20"/>
                <w:lang w:eastAsia="ar-SA" w:bidi="ar-SA"/>
              </w:rPr>
              <w:t>Ogłasza</w:t>
            </w:r>
          </w:p>
        </w:tc>
      </w:tr>
    </w:tbl>
    <w:p w:rsidR="00A434CF" w:rsidRDefault="00A434CF" w:rsidP="00A434CF">
      <w:pPr>
        <w:suppressAutoHyphens/>
        <w:jc w:val="center"/>
        <w:rPr>
          <w:rFonts w:ascii="Arial" w:eastAsia="Times New Roman" w:hAnsi="Arial" w:cs="Times New Roman"/>
          <w:b/>
          <w:szCs w:val="20"/>
          <w:lang w:eastAsia="ar-SA" w:bidi="ar-SA"/>
        </w:rPr>
      </w:pPr>
    </w:p>
    <w:p w:rsidR="00A434CF" w:rsidRDefault="00A434CF" w:rsidP="00A434CF">
      <w:pPr>
        <w:suppressAutoHyphens/>
        <w:jc w:val="center"/>
        <w:rPr>
          <w:rFonts w:eastAsia="Times New Roman" w:cs="Times New Roman"/>
          <w:b/>
          <w:szCs w:val="20"/>
          <w:lang w:eastAsia="ar-SA" w:bidi="ar-SA"/>
        </w:rPr>
      </w:pPr>
      <w:r>
        <w:rPr>
          <w:rFonts w:eastAsia="Times New Roman" w:cs="Times New Roman"/>
          <w:b/>
          <w:szCs w:val="20"/>
          <w:lang w:eastAsia="ar-SA" w:bidi="ar-SA"/>
        </w:rPr>
        <w:t xml:space="preserve">przetarg ustny nieograniczony na zbycie łącznie dwóch lokali użytkowych nr 1 i 2 znajdujących się w budynku gospodarczym położonym w Kościanie przy Placu Wolności </w:t>
      </w:r>
      <w:r>
        <w:rPr>
          <w:rFonts w:eastAsia="Times New Roman" w:cs="Times New Roman"/>
          <w:b/>
          <w:szCs w:val="20"/>
          <w:lang w:eastAsia="ar-SA" w:bidi="ar-SA"/>
        </w:rPr>
        <w:br/>
        <w:t>nr 9, 9a, 10</w:t>
      </w:r>
    </w:p>
    <w:p w:rsidR="00A434CF" w:rsidRDefault="00A434CF" w:rsidP="00A434CF">
      <w:pPr>
        <w:suppressAutoHyphens/>
        <w:ind w:left="2832"/>
        <w:jc w:val="left"/>
        <w:rPr>
          <w:rFonts w:ascii="Times New Roman" w:eastAsia="Times New Roman" w:hAnsi="Times New Roman" w:cs="Times New Roman"/>
          <w:szCs w:val="20"/>
          <w:lang w:eastAsia="ar-SA" w:bidi="ar-SA"/>
        </w:rPr>
      </w:pPr>
    </w:p>
    <w:p w:rsidR="00A434CF" w:rsidRDefault="00A434CF" w:rsidP="00A434CF">
      <w:pPr>
        <w:suppressAutoHyphens/>
        <w:ind w:left="2832"/>
        <w:jc w:val="center"/>
        <w:rPr>
          <w:rFonts w:ascii="Times New Roman" w:eastAsia="Times New Roman" w:hAnsi="Times New Roman" w:cs="Times New Roman"/>
          <w:szCs w:val="20"/>
          <w:lang w:eastAsia="ar-SA" w:bidi="ar-SA"/>
        </w:rPr>
      </w:pPr>
    </w:p>
    <w:tbl>
      <w:tblPr>
        <w:tblStyle w:val="Tabela-Siatka"/>
        <w:tblW w:w="0" w:type="auto"/>
        <w:tblLook w:val="04A0" w:firstRow="1" w:lastRow="0" w:firstColumn="1" w:lastColumn="0" w:noHBand="0" w:noVBand="1"/>
      </w:tblPr>
      <w:tblGrid>
        <w:gridCol w:w="4531"/>
        <w:gridCol w:w="4531"/>
      </w:tblGrid>
      <w:tr w:rsidR="00A434CF" w:rsidTr="0056407B">
        <w:tc>
          <w:tcPr>
            <w:tcW w:w="4531" w:type="dxa"/>
            <w:tcBorders>
              <w:top w:val="nil"/>
              <w:left w:val="nil"/>
              <w:bottom w:val="nil"/>
              <w:right w:val="nil"/>
            </w:tcBorders>
          </w:tcPr>
          <w:p w:rsidR="00A434CF" w:rsidRDefault="00A434CF" w:rsidP="0056407B">
            <w:pPr>
              <w:suppressAutoHyphens/>
              <w:jc w:val="center"/>
              <w:rPr>
                <w:rFonts w:ascii="Times New Roman" w:eastAsia="Times New Roman" w:hAnsi="Times New Roman" w:cs="Times New Roman"/>
                <w:szCs w:val="20"/>
                <w:lang w:eastAsia="ar-SA" w:bidi="ar-SA"/>
              </w:rPr>
            </w:pPr>
            <w:r>
              <w:rPr>
                <w:noProof/>
                <w:lang w:bidi="ar-SA"/>
              </w:rPr>
              <w:drawing>
                <wp:inline distT="0" distB="0" distL="0" distR="0" wp14:anchorId="3595434D" wp14:editId="3A43BAF6">
                  <wp:extent cx="2086610" cy="18395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086610" cy="1839595"/>
                          </a:xfrm>
                          <a:prstGeom prst="rect">
                            <a:avLst/>
                          </a:prstGeom>
                          <a:noFill/>
                        </pic:spPr>
                      </pic:pic>
                    </a:graphicData>
                  </a:graphic>
                </wp:inline>
              </w:drawing>
            </w:r>
          </w:p>
        </w:tc>
        <w:tc>
          <w:tcPr>
            <w:tcW w:w="4531" w:type="dxa"/>
            <w:tcBorders>
              <w:top w:val="nil"/>
              <w:left w:val="nil"/>
              <w:bottom w:val="nil"/>
              <w:right w:val="nil"/>
            </w:tcBorders>
          </w:tcPr>
          <w:p w:rsidR="00A434CF" w:rsidRDefault="00A434CF" w:rsidP="0056407B">
            <w:pPr>
              <w:suppressAutoHyphens/>
              <w:jc w:val="center"/>
              <w:rPr>
                <w:rFonts w:ascii="Times New Roman" w:eastAsia="Times New Roman" w:hAnsi="Times New Roman" w:cs="Times New Roman"/>
                <w:szCs w:val="20"/>
                <w:lang w:eastAsia="ar-SA" w:bidi="ar-SA"/>
              </w:rPr>
            </w:pPr>
            <w:r>
              <w:rPr>
                <w:noProof/>
                <w:lang w:bidi="ar-SA"/>
              </w:rPr>
              <w:drawing>
                <wp:inline distT="0" distB="0" distL="0" distR="0" wp14:anchorId="53684EFA" wp14:editId="63AA9DF7">
                  <wp:extent cx="2423160" cy="18516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2423160" cy="1851660"/>
                          </a:xfrm>
                          <a:prstGeom prst="rect">
                            <a:avLst/>
                          </a:prstGeom>
                          <a:noFill/>
                        </pic:spPr>
                      </pic:pic>
                    </a:graphicData>
                  </a:graphic>
                </wp:inline>
              </w:drawing>
            </w:r>
          </w:p>
        </w:tc>
      </w:tr>
    </w:tbl>
    <w:p w:rsidR="00A434CF" w:rsidRDefault="00A434CF" w:rsidP="00A434CF">
      <w:pPr>
        <w:suppressAutoHyphens/>
        <w:jc w:val="center"/>
        <w:rPr>
          <w:rFonts w:ascii="Times New Roman" w:eastAsia="Times New Roman" w:hAnsi="Times New Roman" w:cs="Times New Roman"/>
          <w:szCs w:val="20"/>
          <w:lang w:eastAsia="ar-SA" w:bidi="ar-SA"/>
        </w:rPr>
      </w:pPr>
    </w:p>
    <w:p w:rsidR="00A434CF" w:rsidRDefault="00A434CF" w:rsidP="00A434CF">
      <w:pPr>
        <w:suppressAutoHyphens/>
        <w:jc w:val="left"/>
        <w:rPr>
          <w:rFonts w:ascii="Times New Roman" w:eastAsia="Times New Roman" w:hAnsi="Times New Roman" w:cs="Times New Roman"/>
          <w:szCs w:val="20"/>
          <w:lang w:eastAsia="ar-SA" w:bidi="ar-SA"/>
        </w:rPr>
      </w:pPr>
    </w:p>
    <w:p w:rsidR="00A434CF" w:rsidRDefault="00A434CF" w:rsidP="00A434CF">
      <w:pPr>
        <w:tabs>
          <w:tab w:val="left" w:pos="360"/>
        </w:tabs>
        <w:suppressAutoHyphens/>
        <w:spacing w:after="120" w:line="276" w:lineRule="auto"/>
        <w:jc w:val="left"/>
        <w:rPr>
          <w:rFonts w:eastAsia="Times New Roman" w:cs="Times New Roman"/>
          <w:b/>
          <w:szCs w:val="20"/>
          <w:lang w:eastAsia="ar-SA" w:bidi="ar-SA"/>
        </w:rPr>
      </w:pPr>
      <w:r>
        <w:rPr>
          <w:rFonts w:eastAsia="Times New Roman" w:cs="Times New Roman"/>
          <w:b/>
          <w:szCs w:val="20"/>
          <w:lang w:eastAsia="ar-SA" w:bidi="ar-SA"/>
        </w:rPr>
        <w:t>Dane dotyczące nieruchomości oraz warunki przetargu:</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1. Nieruchomość oznaczona jest w ewidencji gruntów jako obręb 0001 Kościan, arkusz mapy 19, działka  nr 1882 o pow. 0,2477 ha, zapisana w księdze wieczystej KW nr PO1K/0032777/9 prowadzonej przez Sąd Rejonowy w Kościanie.</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2. Przedmiotem sprzedaży - </w:t>
      </w:r>
      <w:r>
        <w:rPr>
          <w:rFonts w:eastAsia="Times New Roman" w:cs="Times New Roman"/>
          <w:b/>
          <w:szCs w:val="20"/>
          <w:lang w:eastAsia="ar-SA" w:bidi="ar-SA"/>
        </w:rPr>
        <w:t>łącznie</w:t>
      </w:r>
      <w:r>
        <w:rPr>
          <w:rFonts w:eastAsia="Times New Roman" w:cs="Times New Roman"/>
          <w:szCs w:val="20"/>
          <w:lang w:eastAsia="ar-SA" w:bidi="ar-SA"/>
        </w:rPr>
        <w:t xml:space="preserve"> są:</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 </w:t>
      </w:r>
      <w:r>
        <w:rPr>
          <w:rFonts w:eastAsia="Times New Roman" w:cs="Times New Roman"/>
          <w:b/>
          <w:szCs w:val="20"/>
          <w:lang w:eastAsia="ar-SA" w:bidi="ar-SA"/>
        </w:rPr>
        <w:t>lokal użytkowy nr 1</w:t>
      </w:r>
      <w:r>
        <w:rPr>
          <w:rFonts w:eastAsia="Times New Roman" w:cs="Times New Roman"/>
          <w:szCs w:val="20"/>
          <w:lang w:eastAsia="ar-SA" w:bidi="ar-SA"/>
        </w:rPr>
        <w:t xml:space="preserve"> o charakterze magazynowym o pow. użytk. 6,0 m</w:t>
      </w:r>
      <w:r>
        <w:rPr>
          <w:rFonts w:eastAsia="Times New Roman" w:cs="Times New Roman"/>
          <w:szCs w:val="20"/>
          <w:vertAlign w:val="superscript"/>
          <w:lang w:eastAsia="ar-SA" w:bidi="ar-SA"/>
        </w:rPr>
        <w:t>2</w:t>
      </w:r>
      <w:r>
        <w:rPr>
          <w:rFonts w:eastAsia="Times New Roman" w:cs="Times New Roman"/>
          <w:szCs w:val="20"/>
          <w:lang w:eastAsia="ar-SA" w:bidi="ar-SA"/>
        </w:rPr>
        <w:t>, znajdujący się w budynku gospodarczym wraz z udziałem w prawie własności gruntu i częściach wspólnych budynku wynoszącym 60/9025 w nieruchomości oznaczonej jako obręb 0001 Kościan, arkusz mapy 19, działka  nr 1882 o pow. 0,2477 ha, KW nr PO1K/0032777/9. Lokal wpisany jest do odrębnej księgi wieczystej KW nr PO1K/00047618/5,</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 </w:t>
      </w:r>
      <w:r>
        <w:rPr>
          <w:rFonts w:eastAsia="Times New Roman" w:cs="Times New Roman"/>
          <w:b/>
          <w:szCs w:val="20"/>
          <w:lang w:eastAsia="ar-SA" w:bidi="ar-SA"/>
        </w:rPr>
        <w:t>lokal użytkowy nr 2</w:t>
      </w:r>
      <w:r>
        <w:rPr>
          <w:rFonts w:eastAsia="Times New Roman" w:cs="Times New Roman"/>
          <w:szCs w:val="20"/>
          <w:lang w:eastAsia="ar-SA" w:bidi="ar-SA"/>
        </w:rPr>
        <w:t xml:space="preserve"> o charakterze magazynowym o pow. użytk. 6,8 m</w:t>
      </w:r>
      <w:r>
        <w:rPr>
          <w:rFonts w:eastAsia="Times New Roman" w:cs="Times New Roman"/>
          <w:szCs w:val="20"/>
          <w:vertAlign w:val="superscript"/>
          <w:lang w:eastAsia="ar-SA" w:bidi="ar-SA"/>
        </w:rPr>
        <w:t>2</w:t>
      </w:r>
      <w:r>
        <w:rPr>
          <w:rFonts w:eastAsia="Times New Roman" w:cs="Times New Roman"/>
          <w:szCs w:val="20"/>
          <w:lang w:eastAsia="ar-SA" w:bidi="ar-SA"/>
        </w:rPr>
        <w:t>, znajdujący się w budynku gospodarczym wraz z udziałem w prawie własności gruntu i częściach wspólnych budynku wynoszącym 68/9025 w nieruchomości oznaczonej jako obręb 0001 Kościan, arkusz mapy 19, działka  nr 1882 o pow. 0,2477 ha, KW nr PO1K/0032777/9. Lokal wpisany jest do odrębnej księgi wieczystej KW nr PO1K/00047619/2.</w:t>
      </w:r>
    </w:p>
    <w:p w:rsidR="00A434CF" w:rsidRDefault="00A434CF" w:rsidP="00A434CF">
      <w:pPr>
        <w:tabs>
          <w:tab w:val="left" w:pos="0"/>
        </w:tabs>
        <w:suppressAutoHyphens/>
        <w:spacing w:after="120" w:line="276" w:lineRule="auto"/>
        <w:jc w:val="left"/>
        <w:rPr>
          <w:rFonts w:eastAsia="Times New Roman" w:cs="Times New Roman"/>
          <w:b/>
          <w:szCs w:val="20"/>
          <w:lang w:eastAsia="ar-SA" w:bidi="ar-SA"/>
        </w:rPr>
      </w:pPr>
      <w:r>
        <w:rPr>
          <w:rFonts w:eastAsia="Times New Roman" w:cs="Times New Roman"/>
          <w:b/>
          <w:szCs w:val="20"/>
          <w:lang w:eastAsia="ar-SA" w:bidi="ar-SA"/>
        </w:rPr>
        <w:lastRenderedPageBreak/>
        <w:t>Lokale nie posiadają ściany działowej i w chwili obecnej stanowią jeden obiekt.</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Nieruchomości stanowią własność Województwa Wielkopolskiego.</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Budynek gospodarczy, w którym znajdują się lokale 1 i 2, to parterowy obiekt murowany, niepodpiwniczony, z dachem jednospadowym o niskim stopniu nachylenia (dach </w:t>
      </w:r>
      <w:r>
        <w:rPr>
          <w:rFonts w:eastAsia="Times New Roman" w:cs="Times New Roman"/>
          <w:szCs w:val="20"/>
          <w:lang w:eastAsia="ar-SA" w:bidi="ar-SA"/>
        </w:rPr>
        <w:br/>
        <w:t>o konstrukcji drewnianej, kryty papą). Lokale nie posiadają okien, stolarka drzwiowa drewniana. Budynek w złym stanie technicznym, z uszkodzoną elewacją i zniszczonym dachem, wymagającym częściowej wymiany na pow. ok 15 m</w:t>
      </w:r>
      <w:r>
        <w:rPr>
          <w:rFonts w:eastAsia="Times New Roman" w:cs="Times New Roman"/>
          <w:szCs w:val="20"/>
          <w:vertAlign w:val="superscript"/>
          <w:lang w:eastAsia="ar-SA" w:bidi="ar-SA"/>
        </w:rPr>
        <w:t>2</w:t>
      </w:r>
      <w:r>
        <w:rPr>
          <w:rFonts w:eastAsia="Times New Roman" w:cs="Times New Roman"/>
          <w:szCs w:val="20"/>
          <w:lang w:eastAsia="ar-SA" w:bidi="ar-SA"/>
        </w:rPr>
        <w:t>. Lokale nr 1 i 2 są nieużytkowane, standard powierzchni jest podstawowy, brak mediów. Lokale są w stanie do remontu. Budynek nie posiada świadectwa energetycznego.</w:t>
      </w:r>
    </w:p>
    <w:p w:rsidR="00A434CF" w:rsidRDefault="00A434CF" w:rsidP="00A434CF">
      <w:pPr>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3. Zgodnie ze studium uwarunkowań i kierunków zagospodarowania przestrzennego miasta Kościan teren ten oznaczony jest symbolem U - teren zabudowy usługowej. Teren na którym zlokalizowane są zbywane lokale nie jest objęty miejscowym planem zagospodarowania przestrzennego. </w:t>
      </w:r>
    </w:p>
    <w:p w:rsidR="00A434CF" w:rsidRDefault="00A434CF" w:rsidP="00A434CF">
      <w:pPr>
        <w:spacing w:after="120" w:line="276" w:lineRule="auto"/>
        <w:jc w:val="left"/>
        <w:rPr>
          <w:rFonts w:eastAsia="Times New Roman" w:cs="Times New Roman"/>
          <w:szCs w:val="20"/>
          <w:lang w:eastAsia="ar-SA" w:bidi="ar-SA"/>
        </w:rPr>
      </w:pPr>
      <w:r>
        <w:rPr>
          <w:rFonts w:eastAsia="Times New Roman" w:cs="Times New Roman"/>
          <w:szCs w:val="20"/>
          <w:lang w:eastAsia="ar-SA" w:bidi="ar-SA"/>
        </w:rPr>
        <w:t>4. Nieruchomość wpisana jest do rejestru zabytków na podstawie decyzji Wojewódzkiego Konserwatora Zabytków z dn. 3.06.1992 r. pod numerem rejestru 1313/A.</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xml:space="preserve">5.Cena wywoławcza wynosi </w:t>
      </w:r>
      <w:r>
        <w:rPr>
          <w:rFonts w:eastAsia="Times New Roman" w:cs="Times New Roman"/>
          <w:b/>
          <w:szCs w:val="20"/>
          <w:lang w:eastAsia="en-US" w:bidi="ar-SA"/>
        </w:rPr>
        <w:t xml:space="preserve">21.397,00 zł </w:t>
      </w:r>
      <w:r>
        <w:rPr>
          <w:rFonts w:eastAsia="Times New Roman" w:cs="Times New Roman"/>
          <w:szCs w:val="20"/>
          <w:lang w:eastAsia="en-US" w:bidi="ar-SA"/>
        </w:rPr>
        <w:t>(</w:t>
      </w:r>
      <w:r>
        <w:rPr>
          <w:rFonts w:eastAsia="Times New Roman" w:cs="Times New Roman"/>
          <w:b/>
          <w:szCs w:val="20"/>
          <w:lang w:eastAsia="en-US" w:bidi="ar-SA"/>
        </w:rPr>
        <w:t>słownie: dwadzieścia jeden tysięcy trzysta dziewięćdziesiąt siedem złotych</w:t>
      </w:r>
      <w:r>
        <w:rPr>
          <w:rFonts w:eastAsia="Times New Roman" w:cs="Times New Roman"/>
          <w:szCs w:val="20"/>
          <w:lang w:eastAsia="en-US" w:bidi="ar-SA"/>
        </w:rPr>
        <w:t>), na którą składają się:</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- 10.023,00 zł ( w tym wartość gruntu 6.906,00 zł) - wartość lokalu nr 1,</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- 11.374,00 zł (w tym wartość gruntu 7.827,00 zł) - wartość lokalu nr 2,</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xml:space="preserve">przy czym dodatkowo nabywca zostanie obciążony kosztami postępowania, na które składają się koszty sporządzenia aktu notarialnego oraz opłaty sądowej związanej z wpisami wieczystoksięgowymi. Koszty dodatkowe nie podlegają licytacji. Sprzedaż nieruchomości, </w:t>
      </w:r>
      <w:r>
        <w:rPr>
          <w:rFonts w:eastAsia="Times New Roman" w:cs="Times New Roman"/>
          <w:szCs w:val="20"/>
        </w:rPr>
        <w:br/>
      </w:r>
      <w:r>
        <w:rPr>
          <w:rFonts w:eastAsia="Times New Roman" w:cs="Times New Roman"/>
          <w:szCs w:val="20"/>
          <w:lang w:eastAsia="en-US" w:bidi="ar-SA"/>
        </w:rPr>
        <w:t>w oparciu o ustawę z dnia 11 marca 2004 r. o podatku od towarów i usług (Dz. U. z 2024 r., poz. 361 ze zm.) jest zwolniona z podatku VAT.</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xml:space="preserve">Zgodnie z art. 68 ust. 3 ustawy z dnia 21.08.1997 r. o gospodarce nieruchomościami (Dz. U. </w:t>
      </w:r>
      <w:r>
        <w:rPr>
          <w:rFonts w:eastAsia="Times New Roman" w:cs="Times New Roman"/>
          <w:szCs w:val="20"/>
          <w:lang w:eastAsia="en-US" w:bidi="ar-SA"/>
        </w:rPr>
        <w:br/>
        <w:t xml:space="preserve">z 2024 r. poz. 1145 ze zm.) </w:t>
      </w:r>
      <w:r>
        <w:rPr>
          <w:rFonts w:eastAsia="Times New Roman" w:cs="Times New Roman"/>
          <w:b/>
          <w:szCs w:val="20"/>
          <w:lang w:eastAsia="en-US" w:bidi="ar-SA"/>
        </w:rPr>
        <w:t>na wniosek nabywcy</w:t>
      </w:r>
      <w:r>
        <w:rPr>
          <w:rFonts w:eastAsia="Times New Roman" w:cs="Times New Roman"/>
          <w:szCs w:val="20"/>
          <w:lang w:eastAsia="en-US" w:bidi="ar-SA"/>
        </w:rPr>
        <w:t xml:space="preserve"> cena nieruchomości obniżona będzie o 50%, z uwagi na fakt, iż nieruchomość </w:t>
      </w:r>
      <w:r>
        <w:rPr>
          <w:rFonts w:eastAsia="Times New Roman" w:cs="Times New Roman"/>
          <w:szCs w:val="20"/>
        </w:rPr>
        <w:t>w</w:t>
      </w:r>
      <w:r>
        <w:rPr>
          <w:rFonts w:eastAsia="Times New Roman" w:cs="Times New Roman"/>
          <w:szCs w:val="20"/>
          <w:lang w:eastAsia="en-US" w:bidi="ar-SA"/>
        </w:rPr>
        <w:t>pisana jest do rejestru zabytków.</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xml:space="preserve">6. Warunkiem przystąpienia do przetargu jest wniesienie gotówką wadium w wysokości </w:t>
      </w:r>
      <w:r>
        <w:rPr>
          <w:rFonts w:eastAsia="Times New Roman" w:cs="Times New Roman"/>
          <w:b/>
          <w:szCs w:val="20"/>
          <w:lang w:eastAsia="en-US" w:bidi="ar-SA"/>
        </w:rPr>
        <w:t>2.140,00 zł</w:t>
      </w:r>
      <w:r>
        <w:rPr>
          <w:rFonts w:eastAsia="Times New Roman" w:cs="Times New Roman"/>
          <w:szCs w:val="20"/>
          <w:lang w:eastAsia="en-US" w:bidi="ar-SA"/>
        </w:rPr>
        <w:t xml:space="preserve"> </w:t>
      </w:r>
      <w:r>
        <w:rPr>
          <w:rFonts w:eastAsia="Times New Roman" w:cs="Times New Roman"/>
          <w:b/>
          <w:szCs w:val="20"/>
          <w:lang w:eastAsia="en-US" w:bidi="ar-SA"/>
        </w:rPr>
        <w:t>(słownie: dwa tysiące sto czterdzieści złotych)</w:t>
      </w:r>
      <w:r>
        <w:rPr>
          <w:rFonts w:eastAsia="Times New Roman" w:cs="Times New Roman"/>
          <w:szCs w:val="20"/>
          <w:lang w:eastAsia="en-US" w:bidi="ar-SA"/>
        </w:rPr>
        <w:t xml:space="preserve"> na konto:</w:t>
      </w:r>
    </w:p>
    <w:p w:rsidR="00A434CF" w:rsidRDefault="00A434CF" w:rsidP="00A434CF">
      <w:pPr>
        <w:widowControl w:val="0"/>
        <w:suppressLineNumbers/>
        <w:suppressAutoHyphens/>
        <w:spacing w:after="120" w:line="276" w:lineRule="auto"/>
        <w:jc w:val="center"/>
        <w:rPr>
          <w:rFonts w:eastAsia="Times New Roman" w:cs="Times New Roman"/>
          <w:szCs w:val="20"/>
          <w:lang w:eastAsia="en-US" w:bidi="ar-SA"/>
        </w:rPr>
      </w:pPr>
      <w:r>
        <w:rPr>
          <w:rFonts w:eastAsia="Times New Roman" w:cs="Times New Roman"/>
          <w:szCs w:val="20"/>
          <w:lang w:eastAsia="en-US" w:bidi="ar-SA"/>
        </w:rPr>
        <w:t>Urząd Marszałkowski Województwa Wielkopolskiego w Poznaniu</w:t>
      </w:r>
    </w:p>
    <w:p w:rsidR="00A434CF" w:rsidRDefault="00A434CF" w:rsidP="00A434CF">
      <w:pPr>
        <w:widowControl w:val="0"/>
        <w:suppressLineNumbers/>
        <w:suppressAutoHyphens/>
        <w:spacing w:after="120" w:line="276" w:lineRule="auto"/>
        <w:jc w:val="center"/>
        <w:rPr>
          <w:rFonts w:eastAsia="Times New Roman" w:cs="Times New Roman"/>
          <w:szCs w:val="20"/>
          <w:lang w:eastAsia="en-US" w:bidi="ar-SA"/>
        </w:rPr>
      </w:pPr>
      <w:r>
        <w:rPr>
          <w:rFonts w:eastAsia="Times New Roman" w:cs="Times New Roman"/>
          <w:szCs w:val="20"/>
          <w:lang w:eastAsia="en-US" w:bidi="ar-SA"/>
        </w:rPr>
        <w:t>Bank PKO B.P. S.A I Oddział w Poznaniu</w:t>
      </w:r>
    </w:p>
    <w:p w:rsidR="00A434CF" w:rsidRDefault="00A434CF" w:rsidP="00A434CF">
      <w:pPr>
        <w:widowControl w:val="0"/>
        <w:suppressLineNumbers/>
        <w:suppressAutoHyphens/>
        <w:spacing w:after="120" w:line="276" w:lineRule="auto"/>
        <w:jc w:val="center"/>
        <w:rPr>
          <w:rFonts w:eastAsia="Times New Roman" w:cs="Times New Roman"/>
          <w:szCs w:val="20"/>
          <w:lang w:eastAsia="en-US" w:bidi="ar-SA"/>
        </w:rPr>
      </w:pPr>
      <w:r>
        <w:rPr>
          <w:rFonts w:eastAsia="Times New Roman" w:cs="Times New Roman"/>
          <w:szCs w:val="20"/>
          <w:lang w:eastAsia="en-US" w:bidi="ar-SA"/>
        </w:rPr>
        <w:t>nr  74 1020 4027 0000 1302 0403 1241</w:t>
      </w:r>
    </w:p>
    <w:p w:rsidR="00A434CF" w:rsidRDefault="00A434CF" w:rsidP="00A434CF">
      <w:pPr>
        <w:widowControl w:val="0"/>
        <w:suppressLineNumbers/>
        <w:suppressAutoHyphens/>
        <w:spacing w:after="120" w:line="276" w:lineRule="auto"/>
        <w:jc w:val="left"/>
        <w:rPr>
          <w:rFonts w:eastAsia="Times New Roman" w:cs="Times New Roman"/>
          <w:szCs w:val="20"/>
          <w:lang w:eastAsia="en-US" w:bidi="ar-SA"/>
        </w:rPr>
      </w:pPr>
      <w:r>
        <w:rPr>
          <w:rFonts w:eastAsia="Times New Roman" w:cs="Times New Roman"/>
          <w:szCs w:val="20"/>
          <w:lang w:eastAsia="en-US" w:bidi="ar-SA"/>
        </w:rPr>
        <w:t xml:space="preserve">w terminie do </w:t>
      </w:r>
      <w:r>
        <w:rPr>
          <w:rFonts w:eastAsia="Times New Roman" w:cs="Times New Roman"/>
          <w:b/>
          <w:szCs w:val="20"/>
        </w:rPr>
        <w:t>29</w:t>
      </w:r>
      <w:r>
        <w:rPr>
          <w:rFonts w:eastAsia="Times New Roman" w:cs="Times New Roman"/>
          <w:b/>
          <w:szCs w:val="20"/>
          <w:lang w:eastAsia="en-US" w:bidi="ar-SA"/>
        </w:rPr>
        <w:t xml:space="preserve"> kwietnia 2025 r. (ostateczna data wpływu wadium na konto Urzędu). </w:t>
      </w:r>
      <w:r>
        <w:rPr>
          <w:rFonts w:eastAsia="Times New Roman" w:cs="Times New Roman"/>
          <w:szCs w:val="20"/>
          <w:lang w:eastAsia="en-US" w:bidi="ar-SA"/>
        </w:rPr>
        <w:t xml:space="preserve">Każdy uczestnik przetargu winien posiadać dowód wpłaty wadium. Wadium wpłacone przez uczestnika, który przetarg wygrał, zostanie zaliczone na poczet ceny nabycia. Wadium wniesione przez uczestnika przetargu, który przetargu nie wygrał podlega zwrotowi na jego </w:t>
      </w:r>
      <w:r>
        <w:rPr>
          <w:rFonts w:eastAsia="Times New Roman" w:cs="Times New Roman"/>
          <w:szCs w:val="20"/>
          <w:lang w:eastAsia="en-US" w:bidi="ar-SA"/>
        </w:rPr>
        <w:lastRenderedPageBreak/>
        <w:t xml:space="preserve">rzecz. Wadium ulega przepadkowi w razie uchylenia się uczestnika, który przetarg wygrał, </w:t>
      </w:r>
      <w:r>
        <w:rPr>
          <w:rFonts w:eastAsia="Times New Roman" w:cs="Times New Roman"/>
          <w:szCs w:val="20"/>
        </w:rPr>
        <w:br/>
      </w:r>
      <w:r>
        <w:rPr>
          <w:rFonts w:eastAsia="Times New Roman" w:cs="Times New Roman"/>
          <w:szCs w:val="20"/>
          <w:lang w:eastAsia="en-US" w:bidi="ar-SA"/>
        </w:rPr>
        <w:t>od zawarcia umowy.</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7. Przetarg odbędzie się </w:t>
      </w:r>
      <w:r>
        <w:rPr>
          <w:rFonts w:eastAsia="Times New Roman" w:cs="Times New Roman"/>
          <w:b/>
          <w:szCs w:val="20"/>
        </w:rPr>
        <w:t>6 maja</w:t>
      </w:r>
      <w:r>
        <w:rPr>
          <w:rFonts w:eastAsia="Times New Roman" w:cs="Times New Roman"/>
          <w:b/>
          <w:szCs w:val="20"/>
          <w:lang w:eastAsia="ar-SA" w:bidi="ar-SA"/>
        </w:rPr>
        <w:t xml:space="preserve"> 2025 r.</w:t>
      </w:r>
      <w:r>
        <w:rPr>
          <w:rFonts w:eastAsia="Times New Roman" w:cs="Times New Roman"/>
          <w:szCs w:val="20"/>
          <w:lang w:eastAsia="ar-SA" w:bidi="ar-SA"/>
        </w:rPr>
        <w:t xml:space="preserve"> </w:t>
      </w:r>
      <w:r>
        <w:rPr>
          <w:rFonts w:eastAsia="Times New Roman" w:cs="Times New Roman"/>
          <w:b/>
          <w:szCs w:val="20"/>
          <w:lang w:eastAsia="ar-SA" w:bidi="ar-SA"/>
        </w:rPr>
        <w:t>o godz.</w:t>
      </w:r>
      <w:r>
        <w:rPr>
          <w:rFonts w:eastAsia="Times New Roman" w:cs="Times New Roman"/>
          <w:szCs w:val="20"/>
          <w:lang w:eastAsia="ar-SA" w:bidi="ar-SA"/>
        </w:rPr>
        <w:t xml:space="preserve"> </w:t>
      </w:r>
      <w:r>
        <w:rPr>
          <w:rFonts w:eastAsia="Times New Roman" w:cs="Times New Roman"/>
          <w:b/>
          <w:szCs w:val="20"/>
          <w:lang w:eastAsia="ar-SA" w:bidi="ar-SA"/>
        </w:rPr>
        <w:t>10.30</w:t>
      </w:r>
      <w:r>
        <w:rPr>
          <w:rFonts w:eastAsia="Times New Roman" w:cs="Times New Roman"/>
          <w:szCs w:val="20"/>
          <w:lang w:eastAsia="ar-SA" w:bidi="ar-SA"/>
        </w:rPr>
        <w:t xml:space="preserve"> w siedzibie Urzędu Marszałkowskiego Województwa Wielkopolskiego w Poznaniu, al. Niepodległości 34, sala konferencyjna nr 1126, XI piętro.</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8. Osoba reprezentująca w przetargu osobę prawną winna legitymować się stosownym pełnomocnictwem.</w:t>
      </w:r>
    </w:p>
    <w:p w:rsidR="00A434CF" w:rsidRDefault="00A434CF" w:rsidP="00A434CF">
      <w:pPr>
        <w:widowControl w:val="0"/>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9. Przed przystąpieniem do przetargu, konieczne jest okazanie komisji dowodu tożsamości przez uczestnika przetargu, a w przypadku:</w:t>
      </w:r>
    </w:p>
    <w:p w:rsidR="00A434CF" w:rsidRDefault="00A434CF" w:rsidP="00A434CF">
      <w:pPr>
        <w:widowControl w:val="0"/>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 osób fizycznych uczestniczących w przetargu i prowadzących działalność gospodarczą konieczne jest przedłożenie zaświadczenia o wpisie w CEIDG w postaci wydruku ze strony internetowej CEIDG; </w:t>
      </w:r>
    </w:p>
    <w:p w:rsidR="00A434CF" w:rsidRDefault="00A434CF" w:rsidP="00A434CF">
      <w:pPr>
        <w:widowControl w:val="0"/>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podmiotów uczestniczących w przetargu innych niż osoby fizyczne konieczne jest przedłożenie aktualnego dokumentu (oryginał), z którego wynika upoważnienie dla uczestnika do reprezentowania tego podmiotu, a gdy działa pełnomocnik, konieczne jest przedłożenie pełnomocnictwa w formie aktu notarialnego;</w:t>
      </w:r>
    </w:p>
    <w:p w:rsidR="00A434CF" w:rsidRDefault="00A434CF" w:rsidP="00A434CF">
      <w:pPr>
        <w:widowControl w:val="0"/>
        <w:tabs>
          <w:tab w:val="left" w:pos="0"/>
        </w:tabs>
        <w:suppressAutoHyphens/>
        <w:spacing w:after="120" w:line="276" w:lineRule="auto"/>
        <w:jc w:val="left"/>
        <w:rPr>
          <w:rFonts w:eastAsia="Times New Roman" w:cs="Times New Roman"/>
          <w:b/>
          <w:szCs w:val="20"/>
          <w:lang w:eastAsia="ar-SA" w:bidi="ar-SA"/>
        </w:rPr>
      </w:pPr>
      <w:r>
        <w:rPr>
          <w:rFonts w:eastAsia="Times New Roman" w:cs="Times New Roman"/>
          <w:szCs w:val="20"/>
          <w:lang w:eastAsia="ar-SA" w:bidi="ar-SA"/>
        </w:rPr>
        <w:t xml:space="preserve">- </w:t>
      </w:r>
      <w:r>
        <w:rPr>
          <w:rFonts w:eastAsia="Times New Roman" w:cs="Times New Roman"/>
          <w:b/>
          <w:szCs w:val="20"/>
          <w:lang w:eastAsia="ar-SA" w:bidi="ar-SA"/>
        </w:rPr>
        <w:t>małżonków uczestniczących w przetargu,</w:t>
      </w:r>
      <w:r>
        <w:rPr>
          <w:rFonts w:eastAsia="Times New Roman" w:cs="Times New Roman"/>
          <w:szCs w:val="20"/>
          <w:lang w:eastAsia="ar-SA" w:bidi="ar-SA"/>
        </w:rPr>
        <w:t xml:space="preserve"> </w:t>
      </w:r>
      <w:r>
        <w:rPr>
          <w:rFonts w:eastAsia="Times New Roman" w:cs="Times New Roman"/>
          <w:b/>
          <w:szCs w:val="20"/>
          <w:lang w:eastAsia="ar-SA" w:bidi="ar-SA"/>
        </w:rPr>
        <w:t>posiadających wspólność majątkową, konieczna jest obecność obojga małżonków lub jednego z nich ze stosownym pełnomocnictwem (oryginał) drugiego małżonka, zawierającym zgodę na uczestnictwo w przetargu w celu odpłatnego nabycia nieruchomości.</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10. Przetarg jest ważny bez względu na liczbę uczestników przetargu, jeżeli przynajmniej jeden uczestnik zaoferował co najmniej jedno postąpienie powyżej ceny wywoławczej. Wymagane postąpienie wynosi co najmniej 1% ceny wywoławczej, z zaokrągleniem w górę do pełnych dziesiątek złotych.</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11. Cudzoziemcy, uczestniczący w przetargu winni przedstawić przed podpisaniem aktu notarialnego zezwolenie Ministra Spraw Wewnętrznych i Administracji.</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12. Zarząd zastrzega sobie prawo odwołania lub unieważnienia przetargu, o czym poinformuje zainteresowanych w prasie oraz na stronie internetowej Urzędu.</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r>
        <w:rPr>
          <w:rFonts w:eastAsia="Times New Roman" w:cs="Times New Roman"/>
          <w:szCs w:val="20"/>
          <w:lang w:eastAsia="ar-SA" w:bidi="ar-SA"/>
        </w:rPr>
        <w:t xml:space="preserve">13. Dodatkowych informacji o nieruchomości będącej przedmiotem przetargu udzielają pracownicy Departamentu Gospodarki Mieniem Urzędu Marszałkowskiego Województwa Wielkopolskiego w Poznaniu, tel. 61 626 65 64, 61 626 65 55, e-mail: </w:t>
      </w:r>
      <w:hyperlink r:id="rId10" w:history="1">
        <w:r>
          <w:rPr>
            <w:rFonts w:eastAsia="Times New Roman" w:cs="Times New Roman"/>
            <w:color w:val="0563C1"/>
            <w:szCs w:val="20"/>
            <w:u w:val="single"/>
            <w:lang w:val="ar-SA" w:eastAsia="ar-SA" w:bidi="ar-SA"/>
          </w:rPr>
          <w:t>dg.sekretariat@umww.pl</w:t>
        </w:r>
      </w:hyperlink>
      <w:r>
        <w:rPr>
          <w:rFonts w:eastAsia="Times New Roman" w:cs="Times New Roman"/>
          <w:color w:val="0563C1"/>
          <w:szCs w:val="20"/>
          <w:u w:val="single"/>
          <w:lang w:val="ar-SA" w:eastAsia="ar-SA" w:bidi="ar-SA"/>
        </w:rPr>
        <w:t>.</w:t>
      </w: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p>
    <w:p w:rsidR="00A434CF" w:rsidRDefault="00A434CF" w:rsidP="00A434CF">
      <w:pPr>
        <w:tabs>
          <w:tab w:val="left" w:pos="0"/>
        </w:tabs>
        <w:suppressAutoHyphens/>
        <w:spacing w:after="120" w:line="276" w:lineRule="auto"/>
        <w:jc w:val="left"/>
        <w:rPr>
          <w:rFonts w:eastAsia="Times New Roman" w:cs="Times New Roman"/>
          <w:szCs w:val="20"/>
          <w:lang w:eastAsia="ar-SA" w:bidi="ar-SA"/>
        </w:rPr>
      </w:pPr>
    </w:p>
    <w:p w:rsidR="00A434CF" w:rsidRDefault="00A434CF" w:rsidP="00A434CF">
      <w:pPr>
        <w:tabs>
          <w:tab w:val="left" w:pos="0"/>
        </w:tabs>
        <w:suppressAutoHyphens/>
        <w:rPr>
          <w:rFonts w:ascii="Arial" w:eastAsia="Times New Roman" w:hAnsi="Arial" w:cs="Times New Roman"/>
          <w:sz w:val="22"/>
          <w:szCs w:val="20"/>
          <w:lang w:eastAsia="ar-SA" w:bidi="ar-SA"/>
        </w:rPr>
      </w:pPr>
    </w:p>
    <w:p w:rsidR="00A434CF" w:rsidRDefault="00A434CF" w:rsidP="00A434CF">
      <w:pPr>
        <w:suppressAutoHyphens/>
        <w:ind w:right="-142"/>
        <w:rPr>
          <w:rFonts w:eastAsia="Times New Roman" w:cs="Times New Roman"/>
          <w:sz w:val="22"/>
          <w:szCs w:val="20"/>
          <w:lang w:eastAsia="ar-SA" w:bidi="ar-SA"/>
        </w:rPr>
      </w:pPr>
      <w:r>
        <w:rPr>
          <w:rFonts w:eastAsia="Times New Roman" w:cs="Times New Roman"/>
          <w:sz w:val="22"/>
          <w:szCs w:val="20"/>
          <w:lang w:eastAsia="ar-SA" w:bidi="ar-SA"/>
        </w:rPr>
        <w:t>Zgodnie z art. 13 ust. 1 i ust. 2 ogólnego rozporządzenia Parlamentu Europejskiego i Rady (UE) o ochronie danych osobowych z dnia 27 kwietnia 2016 r. Departament Gospodarki Mieniem informuje, iż:</w:t>
      </w:r>
    </w:p>
    <w:p w:rsidR="00A434CF" w:rsidRDefault="00A434CF" w:rsidP="00A434CF">
      <w:pPr>
        <w:keepNext/>
        <w:numPr>
          <w:ilvl w:val="0"/>
          <w:numId w:val="2"/>
        </w:numPr>
        <w:outlineLvl w:val="1"/>
        <w:rPr>
          <w:rFonts w:eastAsia="Times New Roman" w:cs="Times New Roman"/>
          <w:sz w:val="22"/>
          <w:szCs w:val="20"/>
        </w:rPr>
      </w:pPr>
      <w:r>
        <w:rPr>
          <w:rFonts w:eastAsia="Times New Roman" w:cs="Times New Roman"/>
          <w:sz w:val="22"/>
          <w:szCs w:val="20"/>
        </w:rPr>
        <w:t>Administratorem danych osobowych jest Marszałek Województwa z siedzibą Urzędu Marszałkowskiego Województwa Wielkopolskiego w Poznaniu przy al. Niepodległości 34, 61-714 Poznań.</w:t>
      </w:r>
    </w:p>
    <w:p w:rsidR="00A434CF" w:rsidRDefault="00A434CF" w:rsidP="00A434CF">
      <w:pPr>
        <w:numPr>
          <w:ilvl w:val="0"/>
          <w:numId w:val="2"/>
        </w:numPr>
        <w:ind w:right="-142"/>
        <w:rPr>
          <w:rFonts w:eastAsia="Times New Roman" w:cs="Times New Roman"/>
          <w:sz w:val="22"/>
          <w:szCs w:val="20"/>
          <w:lang w:eastAsia="ar-SA" w:bidi="ar-SA"/>
        </w:rPr>
      </w:pPr>
      <w:r>
        <w:rPr>
          <w:rFonts w:eastAsia="Times New Roman" w:cs="Times New Roman"/>
          <w:sz w:val="22"/>
          <w:szCs w:val="20"/>
          <w:lang w:eastAsia="ar-SA" w:bidi="ar-SA"/>
        </w:rPr>
        <w:t>Państwa dane osobowe są przetwarzane w celu zarządzania i gospodarowania nieruchomościami Województwa Wielkopolskiego oraz archiwizacji.</w:t>
      </w:r>
    </w:p>
    <w:p w:rsidR="00A434CF" w:rsidRDefault="00A434CF" w:rsidP="00A434CF">
      <w:pPr>
        <w:keepNext/>
        <w:numPr>
          <w:ilvl w:val="0"/>
          <w:numId w:val="2"/>
        </w:numPr>
        <w:outlineLvl w:val="1"/>
        <w:rPr>
          <w:rFonts w:eastAsia="Times New Roman" w:cs="Times New Roman"/>
          <w:sz w:val="22"/>
          <w:szCs w:val="20"/>
        </w:rPr>
      </w:pPr>
      <w:r>
        <w:rPr>
          <w:rFonts w:eastAsia="Times New Roman" w:cs="Times New Roman"/>
          <w:sz w:val="22"/>
          <w:szCs w:val="20"/>
        </w:rPr>
        <w:t xml:space="preserve">Państwa dane osobowe przetwarzamy: </w:t>
      </w:r>
    </w:p>
    <w:p w:rsidR="00A434CF" w:rsidRDefault="00A434CF" w:rsidP="00A434CF">
      <w:pPr>
        <w:numPr>
          <w:ilvl w:val="0"/>
          <w:numId w:val="3"/>
        </w:numPr>
        <w:tabs>
          <w:tab w:val="left" w:pos="1134"/>
        </w:tabs>
        <w:ind w:left="720" w:hanging="11"/>
        <w:rPr>
          <w:rFonts w:eastAsia="Times New Roman" w:cs="Times New Roman"/>
          <w:sz w:val="22"/>
          <w:szCs w:val="20"/>
        </w:rPr>
      </w:pPr>
      <w:r>
        <w:rPr>
          <w:rFonts w:eastAsia="Times New Roman" w:cs="Times New Roman"/>
          <w:sz w:val="22"/>
          <w:szCs w:val="20"/>
        </w:rPr>
        <w:t>w związku z wypełnieniem obowiązku prawnego ciążącym na administratorze;</w:t>
      </w:r>
    </w:p>
    <w:p w:rsidR="00A434CF" w:rsidRDefault="00A434CF" w:rsidP="00A434CF">
      <w:pPr>
        <w:numPr>
          <w:ilvl w:val="0"/>
          <w:numId w:val="3"/>
        </w:numPr>
        <w:tabs>
          <w:tab w:val="left" w:pos="1134"/>
        </w:tabs>
        <w:ind w:left="720" w:hanging="11"/>
        <w:rPr>
          <w:rFonts w:eastAsia="Times New Roman" w:cs="Times New Roman"/>
          <w:sz w:val="22"/>
          <w:szCs w:val="20"/>
        </w:rPr>
      </w:pPr>
      <w:r>
        <w:rPr>
          <w:rFonts w:eastAsia="Times New Roman" w:cs="Times New Roman"/>
          <w:sz w:val="22"/>
          <w:szCs w:val="20"/>
        </w:rPr>
        <w:t>w związku z wykonaniem przepisów Rozporządzenia Rady Ministrów z dnia 14 września 2004 r. w sprawie sposobu i trybu przeprowadzania przetargów oraz rokowań na zbycie nieruchomości.</w:t>
      </w:r>
    </w:p>
    <w:p w:rsidR="00A434CF" w:rsidRDefault="00A434CF" w:rsidP="00A434CF">
      <w:pPr>
        <w:keepNext/>
        <w:numPr>
          <w:ilvl w:val="0"/>
          <w:numId w:val="2"/>
        </w:numPr>
        <w:rPr>
          <w:rFonts w:eastAsia="Times New Roman" w:cs="Times New Roman"/>
          <w:sz w:val="22"/>
          <w:szCs w:val="20"/>
        </w:rPr>
      </w:pPr>
      <w:r>
        <w:rPr>
          <w:rFonts w:eastAsia="Times New Roman" w:cs="Times New Roman"/>
          <w:sz w:val="22"/>
          <w:szCs w:val="20"/>
        </w:rPr>
        <w:t xml:space="preserve">W sprawach związanych z przetwarzaniem danych osobowych można kontaktować się z Inspektorem ochrony danych osobowych, Departament Organizacyjny i Kadr, Urząd Marszałkowski Województwa Wielkopolskiego w Poznaniu, al. Niepodległości 34, 61-714 Poznań, e-mail: </w:t>
      </w:r>
      <w:hyperlink r:id="rId11" w:history="1">
        <w:r>
          <w:rPr>
            <w:rFonts w:eastAsia="Times New Roman" w:cs="Times New Roman"/>
            <w:color w:val="000000"/>
            <w:sz w:val="22"/>
            <w:szCs w:val="20"/>
          </w:rPr>
          <w:t>inspektor.ochrony@umww.pl</w:t>
        </w:r>
      </w:hyperlink>
      <w:r>
        <w:rPr>
          <w:rFonts w:eastAsia="Times New Roman" w:cs="Times New Roman"/>
          <w:color w:val="000000"/>
          <w:sz w:val="22"/>
          <w:szCs w:val="20"/>
        </w:rPr>
        <w:t>;</w:t>
      </w:r>
    </w:p>
    <w:p w:rsidR="00A434CF" w:rsidRDefault="00A434CF" w:rsidP="00A434CF">
      <w:pPr>
        <w:keepNext/>
        <w:numPr>
          <w:ilvl w:val="0"/>
          <w:numId w:val="2"/>
        </w:numPr>
        <w:outlineLvl w:val="1"/>
        <w:rPr>
          <w:rFonts w:eastAsia="Times New Roman" w:cs="Times New Roman"/>
          <w:sz w:val="22"/>
          <w:szCs w:val="20"/>
        </w:rPr>
      </w:pPr>
      <w:r>
        <w:rPr>
          <w:rFonts w:eastAsia="Times New Roman" w:cs="Times New Roman"/>
          <w:sz w:val="22"/>
          <w:szCs w:val="20"/>
        </w:rPr>
        <w:t>Państwa dane osobowe są przetwarzane bezterminowo, zgodnie z Instrukcją Kancelaryjną.</w:t>
      </w:r>
    </w:p>
    <w:p w:rsidR="00A434CF" w:rsidRDefault="00A434CF" w:rsidP="00A434CF">
      <w:pPr>
        <w:keepNext/>
        <w:numPr>
          <w:ilvl w:val="0"/>
          <w:numId w:val="2"/>
        </w:numPr>
        <w:outlineLvl w:val="1"/>
        <w:rPr>
          <w:rFonts w:eastAsia="Times New Roman" w:cs="Times New Roman"/>
          <w:sz w:val="22"/>
          <w:szCs w:val="20"/>
        </w:rPr>
      </w:pPr>
      <w:r>
        <w:rPr>
          <w:rFonts w:eastAsia="Times New Roman" w:cs="Times New Roman"/>
          <w:sz w:val="22"/>
          <w:szCs w:val="20"/>
        </w:rPr>
        <w:t>Podanie danych osobowych jest warunkiem ustawowym a ich niepodanie skutkuje brakiem możliwości udziału w przetargu oraz naruszeniem przepisów prawa:</w:t>
      </w:r>
    </w:p>
    <w:p w:rsidR="00A434CF" w:rsidRDefault="00A434CF" w:rsidP="00A434CF">
      <w:pPr>
        <w:keepNext/>
        <w:numPr>
          <w:ilvl w:val="0"/>
          <w:numId w:val="4"/>
        </w:numPr>
        <w:ind w:left="1134" w:hanging="425"/>
        <w:outlineLvl w:val="1"/>
        <w:rPr>
          <w:rFonts w:eastAsia="Times New Roman" w:cs="Times New Roman"/>
          <w:sz w:val="22"/>
          <w:szCs w:val="20"/>
        </w:rPr>
      </w:pPr>
      <w:r>
        <w:rPr>
          <w:rFonts w:eastAsia="Times New Roman" w:cs="Times New Roman"/>
          <w:sz w:val="22"/>
          <w:szCs w:val="20"/>
        </w:rPr>
        <w:t>Ustawy z dnia 21 sierpnia 1997 r. o gospodarce nieruchomościami,</w:t>
      </w:r>
    </w:p>
    <w:p w:rsidR="00A434CF" w:rsidRDefault="00A434CF" w:rsidP="00A434CF">
      <w:pPr>
        <w:keepNext/>
        <w:numPr>
          <w:ilvl w:val="0"/>
          <w:numId w:val="4"/>
        </w:numPr>
        <w:ind w:left="1134" w:hanging="425"/>
        <w:outlineLvl w:val="1"/>
        <w:rPr>
          <w:rFonts w:eastAsia="Times New Roman" w:cs="Times New Roman"/>
          <w:sz w:val="22"/>
          <w:szCs w:val="20"/>
        </w:rPr>
      </w:pPr>
      <w:r>
        <w:rPr>
          <w:rFonts w:eastAsia="Times New Roman" w:cs="Times New Roman"/>
          <w:sz w:val="22"/>
          <w:szCs w:val="20"/>
        </w:rPr>
        <w:t>Ustawy z dnia 5 czerwca 1998 r. o samorządzie województwa,</w:t>
      </w:r>
    </w:p>
    <w:p w:rsidR="00A434CF" w:rsidRDefault="00A434CF" w:rsidP="00A434CF">
      <w:pPr>
        <w:keepNext/>
        <w:numPr>
          <w:ilvl w:val="0"/>
          <w:numId w:val="4"/>
        </w:numPr>
        <w:ind w:left="1134" w:hanging="425"/>
        <w:outlineLvl w:val="1"/>
        <w:rPr>
          <w:rFonts w:eastAsia="Times New Roman" w:cs="Times New Roman"/>
          <w:sz w:val="22"/>
          <w:szCs w:val="20"/>
        </w:rPr>
      </w:pPr>
      <w:r>
        <w:rPr>
          <w:rFonts w:eastAsia="Times New Roman" w:cs="Times New Roman"/>
          <w:sz w:val="22"/>
          <w:szCs w:val="20"/>
        </w:rPr>
        <w:t>Ustawy z dnia 23 kwietnia 1964 r. Kodeks cywilny,</w:t>
      </w:r>
    </w:p>
    <w:p w:rsidR="00A434CF" w:rsidRDefault="00A434CF" w:rsidP="00A434CF">
      <w:pPr>
        <w:keepNext/>
        <w:numPr>
          <w:ilvl w:val="0"/>
          <w:numId w:val="4"/>
        </w:numPr>
        <w:ind w:left="1134" w:hanging="425"/>
        <w:outlineLvl w:val="1"/>
        <w:rPr>
          <w:rFonts w:eastAsia="Times New Roman" w:cs="Times New Roman"/>
          <w:sz w:val="22"/>
          <w:szCs w:val="20"/>
        </w:rPr>
      </w:pPr>
      <w:r>
        <w:rPr>
          <w:rFonts w:eastAsia="Times New Roman" w:cs="Times New Roman"/>
          <w:sz w:val="22"/>
          <w:szCs w:val="20"/>
        </w:rPr>
        <w:t>Ustawy z dnia 27 sierpnia 2009 r. o finansach publicznych.</w:t>
      </w:r>
    </w:p>
    <w:p w:rsidR="00A434CF" w:rsidRDefault="00A434CF" w:rsidP="00A434CF">
      <w:pPr>
        <w:keepNext/>
        <w:numPr>
          <w:ilvl w:val="0"/>
          <w:numId w:val="2"/>
        </w:numPr>
        <w:outlineLvl w:val="1"/>
        <w:rPr>
          <w:rFonts w:eastAsia="Times New Roman" w:cs="Times New Roman"/>
          <w:sz w:val="22"/>
          <w:szCs w:val="20"/>
        </w:rPr>
      </w:pPr>
      <w:r>
        <w:rPr>
          <w:rFonts w:eastAsia="Times New Roman" w:cs="Times New Roman"/>
          <w:sz w:val="22"/>
          <w:szCs w:val="20"/>
        </w:rPr>
        <w:t>Przysługuje Państwu prawo do dostępu do danych osobowych, ich sprostowania lub ograniczenia przetwarzania.</w:t>
      </w:r>
    </w:p>
    <w:p w:rsidR="00A434CF" w:rsidRDefault="00A434CF" w:rsidP="00A434CF">
      <w:pPr>
        <w:keepNext/>
        <w:numPr>
          <w:ilvl w:val="0"/>
          <w:numId w:val="2"/>
        </w:numPr>
        <w:outlineLvl w:val="1"/>
        <w:rPr>
          <w:rFonts w:eastAsia="Times New Roman" w:cs="Times New Roman"/>
          <w:sz w:val="22"/>
          <w:szCs w:val="20"/>
        </w:rPr>
      </w:pPr>
      <w:r>
        <w:rPr>
          <w:rFonts w:eastAsia="Times New Roman" w:cs="Times New Roman"/>
          <w:sz w:val="22"/>
          <w:szCs w:val="20"/>
        </w:rPr>
        <w:t>Przysługuje Państwu prawo wniesienia skargi do organu nadzorczego.</w:t>
      </w:r>
    </w:p>
    <w:p w:rsidR="00A434CF" w:rsidRDefault="00A434CF" w:rsidP="00A434CF">
      <w:pPr>
        <w:numPr>
          <w:ilvl w:val="0"/>
          <w:numId w:val="2"/>
        </w:numPr>
        <w:rPr>
          <w:rFonts w:eastAsia="Times New Roman" w:cs="Times New Roman"/>
          <w:sz w:val="22"/>
          <w:szCs w:val="20"/>
        </w:rPr>
      </w:pPr>
      <w:r>
        <w:rPr>
          <w:rFonts w:eastAsia="Times New Roman" w:cs="Times New Roman"/>
          <w:sz w:val="22"/>
          <w:szCs w:val="20"/>
        </w:rPr>
        <w:t>Państwa dane osobowe nie są przetwarzane w sposób zautomatyzowany w celu podjęcia jakiejkolwiek decyzji.</w:t>
      </w:r>
    </w:p>
    <w:p w:rsidR="00A434CF" w:rsidRDefault="00A434CF" w:rsidP="00A434CF">
      <w:pPr>
        <w:suppressAutoHyphens/>
        <w:jc w:val="left"/>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fldChar w:fldCharType="begin"/>
      </w:r>
      <w:r>
        <w:rPr>
          <w:rFonts w:ascii="Times New Roman" w:eastAsia="Times New Roman" w:hAnsi="Times New Roman" w:cs="Times New Roman"/>
          <w:szCs w:val="20"/>
          <w:lang w:eastAsia="ar-SA" w:bidi="ar-SA"/>
        </w:rPr>
        <w:fldChar w:fldCharType="end"/>
      </w:r>
    </w:p>
    <w:p w:rsidR="00A434CF" w:rsidRDefault="00A434CF" w:rsidP="00A434CF">
      <w:pPr>
        <w:suppressAutoHyphens/>
        <w:jc w:val="left"/>
        <w:rPr>
          <w:rFonts w:ascii="Times New Roman" w:eastAsia="Times New Roman" w:hAnsi="Times New Roman" w:cs="Times New Roman"/>
          <w:szCs w:val="20"/>
          <w:lang w:eastAsia="ar-SA" w:bidi="ar-SA"/>
        </w:rPr>
        <w:sectPr w:rsidR="00A434CF">
          <w:footerReference w:type="default" r:id="rId12"/>
          <w:pgSz w:w="11906" w:h="16838"/>
          <w:pgMar w:top="1417" w:right="1417" w:bottom="1417" w:left="1417" w:header="708" w:footer="708" w:gutter="0"/>
          <w:pgNumType w:start="1"/>
          <w:cols w:space="708"/>
        </w:sectPr>
      </w:pPr>
    </w:p>
    <w:p w:rsidR="00B10169" w:rsidRDefault="00B10169" w:rsidP="002D7C66">
      <w:pPr>
        <w:tabs>
          <w:tab w:val="left" w:pos="5520"/>
          <w:tab w:val="right" w:pos="9072"/>
        </w:tabs>
        <w:suppressAutoHyphens/>
        <w:ind w:left="5529" w:hanging="709"/>
        <w:jc w:val="left"/>
      </w:pPr>
      <w:bookmarkStart w:id="0" w:name="_GoBack"/>
      <w:bookmarkEnd w:id="0"/>
    </w:p>
    <w:sectPr w:rsidR="00B10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6F" w:rsidRDefault="00352688">
      <w:r>
        <w:separator/>
      </w:r>
    </w:p>
  </w:endnote>
  <w:endnote w:type="continuationSeparator" w:id="0">
    <w:p w:rsidR="008F286F" w:rsidRDefault="0035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244C44">
      <w:tc>
        <w:tcPr>
          <w:tcW w:w="6048" w:type="dxa"/>
          <w:tcBorders>
            <w:top w:val="single" w:sz="4" w:space="0" w:color="auto"/>
            <w:left w:val="nil"/>
            <w:bottom w:val="nil"/>
            <w:right w:val="nil"/>
          </w:tcBorders>
          <w:tcMar>
            <w:top w:w="100" w:type="dxa"/>
          </w:tcMar>
        </w:tcPr>
        <w:p w:rsidR="00244C44" w:rsidRDefault="002D7C66">
          <w:pPr>
            <w:jc w:val="left"/>
            <w:rPr>
              <w:sz w:val="18"/>
            </w:rPr>
          </w:pPr>
        </w:p>
      </w:tc>
      <w:tc>
        <w:tcPr>
          <w:tcW w:w="3024" w:type="dxa"/>
          <w:tcBorders>
            <w:top w:val="single" w:sz="4" w:space="0" w:color="auto"/>
            <w:left w:val="nil"/>
            <w:bottom w:val="nil"/>
            <w:right w:val="nil"/>
          </w:tcBorders>
          <w:tcMar>
            <w:top w:w="100" w:type="dxa"/>
          </w:tcMar>
        </w:tcPr>
        <w:p w:rsidR="00244C44" w:rsidRDefault="00A434CF">
          <w:pPr>
            <w:jc w:val="right"/>
            <w:rPr>
              <w:sz w:val="18"/>
            </w:rPr>
          </w:pPr>
          <w:r>
            <w:rPr>
              <w:sz w:val="18"/>
            </w:rPr>
            <w:fldChar w:fldCharType="begin"/>
          </w:r>
          <w:r>
            <w:rPr>
              <w:sz w:val="18"/>
            </w:rPr>
            <w:instrText>PAGE</w:instrText>
          </w:r>
          <w:r>
            <w:rPr>
              <w:sz w:val="18"/>
            </w:rPr>
            <w:fldChar w:fldCharType="separate"/>
          </w:r>
          <w:r w:rsidR="002D7C66">
            <w:rPr>
              <w:noProof/>
              <w:sz w:val="18"/>
            </w:rPr>
            <w:t>4</w:t>
          </w:r>
          <w:r>
            <w:rPr>
              <w:sz w:val="18"/>
            </w:rPr>
            <w:fldChar w:fldCharType="end"/>
          </w:r>
        </w:p>
      </w:tc>
    </w:tr>
  </w:tbl>
  <w:p w:rsidR="00244C44" w:rsidRDefault="002D7C6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6F" w:rsidRDefault="00352688">
      <w:r>
        <w:separator/>
      </w:r>
    </w:p>
  </w:footnote>
  <w:footnote w:type="continuationSeparator" w:id="0">
    <w:p w:rsidR="008F286F" w:rsidRDefault="0035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none"/>
      <w:suff w:val="nothing"/>
      <w:lvlText w:val=""/>
      <w:lvlJc w:val="left"/>
      <w:pPr>
        <w:tabs>
          <w:tab w:val="left" w:pos="0"/>
        </w:tabs>
        <w:ind w:left="0" w:firstLine="0"/>
      </w:pPr>
    </w:lvl>
    <w:lvl w:ilvl="1">
      <w:start w:val="1"/>
      <w:numFmt w:val="none"/>
      <w:pStyle w:val="Nagwek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Nagwek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42C71D67"/>
    <w:multiLevelType w:val="hybridMultilevel"/>
    <w:tmpl w:val="00000000"/>
    <w:lvl w:ilvl="0" w:tplc="7F20579E">
      <w:start w:val="1"/>
      <w:numFmt w:val="bullet"/>
      <w:lvlText w:val=""/>
      <w:lvlJc w:val="left"/>
      <w:pPr>
        <w:ind w:left="1429" w:hanging="360"/>
      </w:pPr>
      <w:rPr>
        <w:rFonts w:ascii="Symbol" w:hAnsi="Symbol"/>
      </w:rPr>
    </w:lvl>
    <w:lvl w:ilvl="1" w:tplc="D0027DE6">
      <w:start w:val="1"/>
      <w:numFmt w:val="bullet"/>
      <w:lvlText w:val="o"/>
      <w:lvlJc w:val="left"/>
      <w:pPr>
        <w:ind w:left="2149" w:hanging="360"/>
      </w:pPr>
      <w:rPr>
        <w:rFonts w:ascii="Courier New" w:hAnsi="Courier New"/>
      </w:rPr>
    </w:lvl>
    <w:lvl w:ilvl="2" w:tplc="781672B8">
      <w:start w:val="1"/>
      <w:numFmt w:val="bullet"/>
      <w:lvlText w:val=""/>
      <w:lvlJc w:val="left"/>
      <w:pPr>
        <w:ind w:left="2869" w:hanging="360"/>
      </w:pPr>
      <w:rPr>
        <w:rFonts w:ascii="Wingdings" w:hAnsi="Wingdings"/>
      </w:rPr>
    </w:lvl>
    <w:lvl w:ilvl="3" w:tplc="74A8BC5A">
      <w:start w:val="1"/>
      <w:numFmt w:val="bullet"/>
      <w:lvlText w:val=""/>
      <w:lvlJc w:val="left"/>
      <w:pPr>
        <w:ind w:left="3589" w:hanging="360"/>
      </w:pPr>
      <w:rPr>
        <w:rFonts w:ascii="Symbol" w:hAnsi="Symbol"/>
      </w:rPr>
    </w:lvl>
    <w:lvl w:ilvl="4" w:tplc="47388C12">
      <w:start w:val="1"/>
      <w:numFmt w:val="bullet"/>
      <w:lvlText w:val="o"/>
      <w:lvlJc w:val="left"/>
      <w:pPr>
        <w:ind w:left="4309" w:hanging="360"/>
      </w:pPr>
      <w:rPr>
        <w:rFonts w:ascii="Courier New" w:hAnsi="Courier New"/>
      </w:rPr>
    </w:lvl>
    <w:lvl w:ilvl="5" w:tplc="2F74DC46">
      <w:start w:val="1"/>
      <w:numFmt w:val="bullet"/>
      <w:lvlText w:val=""/>
      <w:lvlJc w:val="left"/>
      <w:pPr>
        <w:ind w:left="5029" w:hanging="360"/>
      </w:pPr>
      <w:rPr>
        <w:rFonts w:ascii="Wingdings" w:hAnsi="Wingdings"/>
      </w:rPr>
    </w:lvl>
    <w:lvl w:ilvl="6" w:tplc="F222CAD2">
      <w:start w:val="1"/>
      <w:numFmt w:val="bullet"/>
      <w:lvlText w:val=""/>
      <w:lvlJc w:val="left"/>
      <w:pPr>
        <w:ind w:left="5749" w:hanging="360"/>
      </w:pPr>
      <w:rPr>
        <w:rFonts w:ascii="Symbol" w:hAnsi="Symbol"/>
      </w:rPr>
    </w:lvl>
    <w:lvl w:ilvl="7" w:tplc="8340D7F6">
      <w:start w:val="1"/>
      <w:numFmt w:val="bullet"/>
      <w:lvlText w:val="o"/>
      <w:lvlJc w:val="left"/>
      <w:pPr>
        <w:ind w:left="6469" w:hanging="360"/>
      </w:pPr>
      <w:rPr>
        <w:rFonts w:ascii="Courier New" w:hAnsi="Courier New"/>
      </w:rPr>
    </w:lvl>
    <w:lvl w:ilvl="8" w:tplc="75BC2510">
      <w:start w:val="1"/>
      <w:numFmt w:val="bullet"/>
      <w:lvlText w:val=""/>
      <w:lvlJc w:val="left"/>
      <w:pPr>
        <w:ind w:left="7189" w:hanging="360"/>
      </w:pPr>
      <w:rPr>
        <w:rFonts w:ascii="Wingdings" w:hAnsi="Wingdings"/>
      </w:rPr>
    </w:lvl>
  </w:abstractNum>
  <w:abstractNum w:abstractNumId="2" w15:restartNumberingAfterBreak="0">
    <w:nsid w:val="56D45330"/>
    <w:multiLevelType w:val="hybridMultilevel"/>
    <w:tmpl w:val="00000000"/>
    <w:lvl w:ilvl="0" w:tplc="C25E3254">
      <w:start w:val="1"/>
      <w:numFmt w:val="lowerLetter"/>
      <w:lvlText w:val="%1)"/>
      <w:lvlJc w:val="left"/>
      <w:pPr>
        <w:ind w:left="1070" w:hanging="360"/>
      </w:pPr>
    </w:lvl>
    <w:lvl w:ilvl="1" w:tplc="3ADED26C">
      <w:start w:val="1"/>
      <w:numFmt w:val="lowerLetter"/>
      <w:lvlText w:val="%2."/>
      <w:lvlJc w:val="left"/>
      <w:pPr>
        <w:ind w:left="1790" w:hanging="360"/>
      </w:pPr>
    </w:lvl>
    <w:lvl w:ilvl="2" w:tplc="2C088246">
      <w:start w:val="1"/>
      <w:numFmt w:val="lowerRoman"/>
      <w:lvlText w:val="%3."/>
      <w:lvlJc w:val="right"/>
      <w:pPr>
        <w:ind w:left="2510" w:hanging="180"/>
      </w:pPr>
    </w:lvl>
    <w:lvl w:ilvl="3" w:tplc="37CE655C">
      <w:start w:val="1"/>
      <w:numFmt w:val="decimal"/>
      <w:lvlText w:val="%4."/>
      <w:lvlJc w:val="left"/>
      <w:pPr>
        <w:ind w:left="3230" w:hanging="360"/>
      </w:pPr>
    </w:lvl>
    <w:lvl w:ilvl="4" w:tplc="FF7005E4">
      <w:start w:val="1"/>
      <w:numFmt w:val="lowerLetter"/>
      <w:lvlText w:val="%5."/>
      <w:lvlJc w:val="left"/>
      <w:pPr>
        <w:ind w:left="3950" w:hanging="360"/>
      </w:pPr>
    </w:lvl>
    <w:lvl w:ilvl="5" w:tplc="41D6FDF2">
      <w:start w:val="1"/>
      <w:numFmt w:val="lowerRoman"/>
      <w:lvlText w:val="%6."/>
      <w:lvlJc w:val="right"/>
      <w:pPr>
        <w:ind w:left="4670" w:hanging="180"/>
      </w:pPr>
    </w:lvl>
    <w:lvl w:ilvl="6" w:tplc="E340BCCA">
      <w:start w:val="1"/>
      <w:numFmt w:val="decimal"/>
      <w:lvlText w:val="%7."/>
      <w:lvlJc w:val="left"/>
      <w:pPr>
        <w:ind w:left="5390" w:hanging="360"/>
      </w:pPr>
    </w:lvl>
    <w:lvl w:ilvl="7" w:tplc="3DC65862">
      <w:start w:val="1"/>
      <w:numFmt w:val="lowerLetter"/>
      <w:lvlText w:val="%8."/>
      <w:lvlJc w:val="left"/>
      <w:pPr>
        <w:ind w:left="6110" w:hanging="360"/>
      </w:pPr>
    </w:lvl>
    <w:lvl w:ilvl="8" w:tplc="3060463A">
      <w:start w:val="1"/>
      <w:numFmt w:val="lowerRoman"/>
      <w:lvlText w:val="%9."/>
      <w:lvlJc w:val="right"/>
      <w:pPr>
        <w:ind w:left="6830" w:hanging="180"/>
      </w:pPr>
    </w:lvl>
  </w:abstractNum>
  <w:abstractNum w:abstractNumId="3" w15:restartNumberingAfterBreak="0">
    <w:nsid w:val="5D07165F"/>
    <w:multiLevelType w:val="hybridMultilevel"/>
    <w:tmpl w:val="00000000"/>
    <w:lvl w:ilvl="0" w:tplc="09DA74B0">
      <w:start w:val="1"/>
      <w:numFmt w:val="decimal"/>
      <w:lvlText w:val="%1."/>
      <w:lvlJc w:val="left"/>
      <w:pPr>
        <w:ind w:left="720" w:hanging="360"/>
      </w:pPr>
      <w:rPr>
        <w:b w:val="0"/>
      </w:rPr>
    </w:lvl>
    <w:lvl w:ilvl="1" w:tplc="EE7C9AFA">
      <w:start w:val="1"/>
      <w:numFmt w:val="lowerLetter"/>
      <w:lvlText w:val="%2."/>
      <w:lvlJc w:val="left"/>
      <w:pPr>
        <w:ind w:left="1440" w:hanging="360"/>
      </w:pPr>
    </w:lvl>
    <w:lvl w:ilvl="2" w:tplc="10E2186C">
      <w:start w:val="1"/>
      <w:numFmt w:val="lowerRoman"/>
      <w:lvlText w:val="%3."/>
      <w:lvlJc w:val="right"/>
      <w:pPr>
        <w:ind w:left="2160" w:hanging="180"/>
      </w:pPr>
    </w:lvl>
    <w:lvl w:ilvl="3" w:tplc="37C29740">
      <w:start w:val="1"/>
      <w:numFmt w:val="decimal"/>
      <w:lvlText w:val="%4."/>
      <w:lvlJc w:val="left"/>
      <w:pPr>
        <w:ind w:left="2880" w:hanging="360"/>
      </w:pPr>
    </w:lvl>
    <w:lvl w:ilvl="4" w:tplc="01AED1EC">
      <w:start w:val="1"/>
      <w:numFmt w:val="lowerLetter"/>
      <w:lvlText w:val="%5."/>
      <w:lvlJc w:val="left"/>
      <w:pPr>
        <w:ind w:left="3600" w:hanging="360"/>
      </w:pPr>
    </w:lvl>
    <w:lvl w:ilvl="5" w:tplc="D5524708">
      <w:start w:val="1"/>
      <w:numFmt w:val="lowerRoman"/>
      <w:lvlText w:val="%6."/>
      <w:lvlJc w:val="right"/>
      <w:pPr>
        <w:ind w:left="4320" w:hanging="180"/>
      </w:pPr>
    </w:lvl>
    <w:lvl w:ilvl="6" w:tplc="697296B6">
      <w:start w:val="1"/>
      <w:numFmt w:val="decimal"/>
      <w:lvlText w:val="%7."/>
      <w:lvlJc w:val="left"/>
      <w:pPr>
        <w:ind w:left="5040" w:hanging="360"/>
      </w:pPr>
    </w:lvl>
    <w:lvl w:ilvl="7" w:tplc="5F883C78">
      <w:start w:val="1"/>
      <w:numFmt w:val="lowerLetter"/>
      <w:lvlText w:val="%8."/>
      <w:lvlJc w:val="left"/>
      <w:pPr>
        <w:ind w:left="5760" w:hanging="360"/>
      </w:pPr>
    </w:lvl>
    <w:lvl w:ilvl="8" w:tplc="12269858">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CF"/>
    <w:rsid w:val="002D7C66"/>
    <w:rsid w:val="00352688"/>
    <w:rsid w:val="008F286F"/>
    <w:rsid w:val="00A434CF"/>
    <w:rsid w:val="00B10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74A23-AF2D-43CE-8CA8-B8685C82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4CF"/>
    <w:pPr>
      <w:spacing w:after="0" w:line="240" w:lineRule="auto"/>
      <w:jc w:val="both"/>
    </w:pPr>
    <w:rPr>
      <w:rFonts w:ascii="Calibri" w:eastAsia="Calibri" w:hAnsi="Calibri" w:cs="Calibri"/>
      <w:sz w:val="24"/>
      <w:szCs w:val="24"/>
      <w:lang w:eastAsia="pl-PL" w:bidi="pl-PL"/>
    </w:rPr>
  </w:style>
  <w:style w:type="paragraph" w:styleId="Nagwek2">
    <w:name w:val="heading 2"/>
    <w:basedOn w:val="Normalny"/>
    <w:next w:val="Normalny"/>
    <w:link w:val="Nagwek2Znak"/>
    <w:qFormat/>
    <w:rsid w:val="00A434CF"/>
    <w:pPr>
      <w:keepNext/>
      <w:numPr>
        <w:ilvl w:val="1"/>
        <w:numId w:val="1"/>
      </w:numPr>
      <w:suppressAutoHyphens/>
      <w:ind w:left="5580" w:right="-828"/>
      <w:jc w:val="left"/>
      <w:outlineLvl w:val="1"/>
    </w:pPr>
    <w:rPr>
      <w:rFonts w:ascii="Arial" w:eastAsia="Times New Roman" w:hAnsi="Arial" w:cs="Times New Roman"/>
      <w:i/>
      <w:sz w:val="22"/>
      <w:szCs w:val="20"/>
      <w:lang w:eastAsia="ar-SA" w:bidi="ar-SA"/>
    </w:rPr>
  </w:style>
  <w:style w:type="paragraph" w:styleId="Nagwek4">
    <w:name w:val="heading 4"/>
    <w:basedOn w:val="Normalny"/>
    <w:next w:val="Normalny"/>
    <w:link w:val="Nagwek4Znak"/>
    <w:qFormat/>
    <w:rsid w:val="00A434CF"/>
    <w:pPr>
      <w:keepNext/>
      <w:widowControl w:val="0"/>
      <w:numPr>
        <w:ilvl w:val="3"/>
        <w:numId w:val="1"/>
      </w:numPr>
      <w:suppressAutoHyphens/>
      <w:jc w:val="center"/>
      <w:outlineLvl w:val="3"/>
    </w:pPr>
    <w:rPr>
      <w:rFonts w:ascii="Arial" w:eastAsia="Times New Roman" w:hAnsi="Arial" w:cs="Times New Roman"/>
      <w:b/>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434CF"/>
    <w:rPr>
      <w:rFonts w:ascii="Arial" w:eastAsia="Times New Roman" w:hAnsi="Arial" w:cs="Times New Roman"/>
      <w:i/>
      <w:szCs w:val="20"/>
      <w:lang w:eastAsia="ar-SA"/>
    </w:rPr>
  </w:style>
  <w:style w:type="character" w:customStyle="1" w:styleId="Nagwek4Znak">
    <w:name w:val="Nagłówek 4 Znak"/>
    <w:basedOn w:val="Domylnaczcionkaakapitu"/>
    <w:link w:val="Nagwek4"/>
    <w:rsid w:val="00A434CF"/>
    <w:rPr>
      <w:rFonts w:ascii="Arial" w:eastAsia="Times New Roman" w:hAnsi="Arial" w:cs="Times New Roman"/>
      <w:b/>
      <w:sz w:val="24"/>
      <w:szCs w:val="20"/>
      <w:lang w:eastAsia="ar-SA"/>
    </w:rPr>
  </w:style>
  <w:style w:type="table" w:styleId="Tabela-Siatka">
    <w:name w:val="Table Grid"/>
    <w:basedOn w:val="Standardowy"/>
    <w:rsid w:val="00A434CF"/>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ktor.ochrony@umww.pl" TargetMode="External"/><Relationship Id="rId5" Type="http://schemas.openxmlformats.org/officeDocument/2006/relationships/footnotes" Target="footnotes.xml"/><Relationship Id="rId10" Type="http://schemas.openxmlformats.org/officeDocument/2006/relationships/hyperlink" Target="mailto:dg.sekretariat@umww.p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Pawlak Izabela</dc:creator>
  <cp:keywords/>
  <dc:description/>
  <cp:lastModifiedBy>Pawlak Izabela</cp:lastModifiedBy>
  <cp:revision>2</cp:revision>
  <dcterms:created xsi:type="dcterms:W3CDTF">2025-03-21T09:11:00Z</dcterms:created>
  <dcterms:modified xsi:type="dcterms:W3CDTF">2025-03-21T09:11:00Z</dcterms:modified>
</cp:coreProperties>
</file>