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94" w:rsidRPr="00862F94" w:rsidRDefault="00083299" w:rsidP="00862F94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bookmarkStart w:id="0" w:name="_Toc116041005"/>
      <w:bookmarkStart w:id="1" w:name="_Toc128398028"/>
      <w:bookmarkStart w:id="2" w:name="_GoBack"/>
      <w:bookmarkEnd w:id="2"/>
      <w:r w:rsidRPr="00FB48BE">
        <w:rPr>
          <w:rFonts w:asciiTheme="minorHAnsi" w:hAnsiTheme="minorHAnsi" w:cstheme="minorHAnsi"/>
          <w:b/>
        </w:rPr>
        <w:t>Załącznik nr 2</w:t>
      </w:r>
      <w:r w:rsidR="00862F94" w:rsidRPr="00FB48BE">
        <w:rPr>
          <w:rFonts w:asciiTheme="minorHAnsi" w:hAnsiTheme="minorHAnsi" w:cstheme="minorHAnsi"/>
          <w:b/>
        </w:rPr>
        <w:t xml:space="preserve"> </w:t>
      </w:r>
      <w:r w:rsidR="00862F94" w:rsidRPr="00862F94">
        <w:rPr>
          <w:rFonts w:asciiTheme="minorHAnsi" w:hAnsiTheme="minorHAnsi" w:cstheme="minorHAnsi"/>
          <w:b/>
        </w:rPr>
        <w:t>– Kontrole zakończone przez organy kontroli zewnętrznej w 202</w:t>
      </w:r>
      <w:r w:rsidR="00862F94">
        <w:rPr>
          <w:rFonts w:asciiTheme="minorHAnsi" w:hAnsiTheme="minorHAnsi" w:cstheme="minorHAnsi"/>
          <w:b/>
        </w:rPr>
        <w:t>2</w:t>
      </w:r>
      <w:r w:rsidR="00862F94" w:rsidRPr="00862F94">
        <w:rPr>
          <w:rFonts w:asciiTheme="minorHAnsi" w:hAnsiTheme="minorHAnsi" w:cstheme="minorHAnsi"/>
          <w:b/>
        </w:rPr>
        <w:t xml:space="preserve"> roku</w:t>
      </w:r>
    </w:p>
    <w:p w:rsidR="00083299" w:rsidRDefault="00083299" w:rsidP="00CD5F7F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bookmarkEnd w:id="1"/>
    <w:p w:rsidR="00CD5F7F" w:rsidRDefault="0004546C" w:rsidP="00CD5F7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57467A">
        <w:rPr>
          <w:rFonts w:asciiTheme="minorHAnsi" w:hAnsiTheme="minorHAnsi" w:cstheme="minorHAnsi"/>
        </w:rPr>
        <w:t xml:space="preserve">W </w:t>
      </w:r>
      <w:r w:rsidR="00CD5F7F" w:rsidRPr="0057467A">
        <w:rPr>
          <w:rFonts w:asciiTheme="minorHAnsi" w:hAnsiTheme="minorHAnsi" w:cstheme="minorHAnsi"/>
        </w:rPr>
        <w:t xml:space="preserve">2022 roku </w:t>
      </w:r>
      <w:r w:rsidR="00CD5F7F" w:rsidRPr="00FB48BE">
        <w:rPr>
          <w:rFonts w:asciiTheme="minorHAnsi" w:hAnsiTheme="minorHAnsi" w:cstheme="minorHAnsi"/>
          <w:b/>
        </w:rPr>
        <w:t xml:space="preserve">NAJWYŻSZA IZBA KONTROLI </w:t>
      </w:r>
      <w:r w:rsidR="0057467A" w:rsidRPr="00FB48BE">
        <w:rPr>
          <w:rFonts w:asciiTheme="minorHAnsi" w:hAnsiTheme="minorHAnsi" w:cstheme="minorHAnsi"/>
        </w:rPr>
        <w:t>przeprowadził</w:t>
      </w:r>
      <w:r w:rsidR="0057467A">
        <w:rPr>
          <w:rFonts w:asciiTheme="minorHAnsi" w:hAnsiTheme="minorHAnsi" w:cstheme="minorHAnsi"/>
        </w:rPr>
        <w:t>a</w:t>
      </w:r>
      <w:r w:rsidR="0057467A" w:rsidRPr="00FB48BE">
        <w:rPr>
          <w:rFonts w:asciiTheme="minorHAnsi" w:hAnsiTheme="minorHAnsi" w:cstheme="minorHAnsi"/>
        </w:rPr>
        <w:t xml:space="preserve"> 5 kontroli, a</w:t>
      </w:r>
      <w:r w:rsidR="0057467A" w:rsidRPr="00FB48BE">
        <w:rPr>
          <w:rFonts w:asciiTheme="minorHAnsi" w:hAnsiTheme="minorHAnsi" w:cstheme="minorHAnsi"/>
          <w:b/>
        </w:rPr>
        <w:t xml:space="preserve"> </w:t>
      </w:r>
      <w:r w:rsidR="00E6415C" w:rsidRPr="00FB48BE">
        <w:rPr>
          <w:rFonts w:asciiTheme="minorHAnsi" w:hAnsiTheme="minorHAnsi" w:cstheme="minorHAnsi"/>
          <w:b/>
        </w:rPr>
        <w:t>REGIONALNA IZBA OBRACHUNKOWA</w:t>
      </w:r>
      <w:r w:rsidR="00E6415C" w:rsidRPr="00FB48BE">
        <w:rPr>
          <w:rFonts w:asciiTheme="minorHAnsi" w:hAnsiTheme="minorHAnsi" w:cstheme="minorHAnsi"/>
          <w:b/>
          <w:spacing w:val="-6"/>
        </w:rPr>
        <w:t xml:space="preserve"> w Poznaniu</w:t>
      </w:r>
      <w:r w:rsidR="004F2FFB" w:rsidRPr="00FB48BE">
        <w:rPr>
          <w:rFonts w:asciiTheme="minorHAnsi" w:hAnsiTheme="minorHAnsi" w:cstheme="minorHAnsi"/>
          <w:b/>
          <w:spacing w:val="-6"/>
        </w:rPr>
        <w:t xml:space="preserve"> </w:t>
      </w:r>
      <w:r w:rsidR="00CD5F7F" w:rsidRPr="00FB48BE">
        <w:rPr>
          <w:rFonts w:asciiTheme="minorHAnsi" w:hAnsiTheme="minorHAnsi" w:cstheme="minorHAnsi"/>
          <w:spacing w:val="-6"/>
        </w:rPr>
        <w:t>p</w:t>
      </w:r>
      <w:r w:rsidR="00862F94" w:rsidRPr="00FB48BE">
        <w:rPr>
          <w:rFonts w:asciiTheme="minorHAnsi" w:hAnsiTheme="minorHAnsi" w:cstheme="minorHAnsi"/>
          <w:spacing w:val="-6"/>
        </w:rPr>
        <w:t>rzep</w:t>
      </w:r>
      <w:r w:rsidR="00CD5F7F" w:rsidRPr="00FB48BE">
        <w:rPr>
          <w:rFonts w:asciiTheme="minorHAnsi" w:hAnsiTheme="minorHAnsi" w:cstheme="minorHAnsi"/>
          <w:spacing w:val="-6"/>
        </w:rPr>
        <w:t>rowadził</w:t>
      </w:r>
      <w:r w:rsidR="0057467A" w:rsidRPr="0057467A">
        <w:rPr>
          <w:rFonts w:asciiTheme="minorHAnsi" w:hAnsiTheme="minorHAnsi" w:cstheme="minorHAnsi"/>
          <w:spacing w:val="-6"/>
        </w:rPr>
        <w:t>a</w:t>
      </w:r>
      <w:r w:rsidR="00CD5F7F" w:rsidRPr="00FB48BE">
        <w:rPr>
          <w:rFonts w:asciiTheme="minorHAnsi" w:hAnsiTheme="minorHAnsi" w:cstheme="minorHAnsi"/>
          <w:spacing w:val="-6"/>
        </w:rPr>
        <w:t xml:space="preserve"> </w:t>
      </w:r>
      <w:r w:rsidR="0057467A" w:rsidRPr="0057467A">
        <w:rPr>
          <w:rFonts w:asciiTheme="minorHAnsi" w:hAnsiTheme="minorHAnsi" w:cstheme="minorHAnsi"/>
          <w:spacing w:val="-6"/>
        </w:rPr>
        <w:t>1</w:t>
      </w:r>
      <w:r w:rsidR="00CD5F7F" w:rsidRPr="00FB48BE">
        <w:rPr>
          <w:rFonts w:asciiTheme="minorHAnsi" w:hAnsiTheme="minorHAnsi" w:cstheme="minorHAnsi"/>
          <w:spacing w:val="-6"/>
        </w:rPr>
        <w:t xml:space="preserve"> kontrol</w:t>
      </w:r>
      <w:r w:rsidR="0057467A" w:rsidRPr="0057467A">
        <w:rPr>
          <w:rFonts w:asciiTheme="minorHAnsi" w:hAnsiTheme="minorHAnsi" w:cstheme="minorHAnsi"/>
          <w:spacing w:val="-6"/>
        </w:rPr>
        <w:t>ę</w:t>
      </w:r>
      <w:r w:rsidR="00DB71B4" w:rsidRPr="00FB48BE">
        <w:rPr>
          <w:rFonts w:asciiTheme="minorHAnsi" w:hAnsiTheme="minorHAnsi" w:cstheme="minorHAnsi"/>
          <w:spacing w:val="-6"/>
        </w:rPr>
        <w:t xml:space="preserve"> </w:t>
      </w:r>
      <w:r w:rsidR="006C7B2A" w:rsidRPr="00FB48BE">
        <w:rPr>
          <w:rFonts w:asciiTheme="minorHAnsi" w:hAnsiTheme="minorHAnsi" w:cstheme="minorHAnsi"/>
          <w:spacing w:val="-6"/>
        </w:rPr>
        <w:t xml:space="preserve">w </w:t>
      </w:r>
      <w:r w:rsidR="00DB71B4" w:rsidRPr="00FB48BE">
        <w:rPr>
          <w:rFonts w:asciiTheme="minorHAnsi" w:hAnsiTheme="minorHAnsi" w:cstheme="minorHAnsi"/>
          <w:spacing w:val="-6"/>
        </w:rPr>
        <w:t>Urzęd</w:t>
      </w:r>
      <w:r w:rsidR="006C7B2A" w:rsidRPr="00FB48BE">
        <w:rPr>
          <w:rFonts w:asciiTheme="minorHAnsi" w:hAnsiTheme="minorHAnsi" w:cstheme="minorHAnsi"/>
          <w:spacing w:val="-6"/>
        </w:rPr>
        <w:t>zie</w:t>
      </w:r>
      <w:r w:rsidR="00DB71B4" w:rsidRPr="00FB48BE">
        <w:rPr>
          <w:rFonts w:asciiTheme="minorHAnsi" w:hAnsiTheme="minorHAnsi" w:cstheme="minorHAnsi"/>
          <w:spacing w:val="-6"/>
        </w:rPr>
        <w:t xml:space="preserve"> Marszałkowski</w:t>
      </w:r>
      <w:r w:rsidR="006C7B2A" w:rsidRPr="00FB48BE">
        <w:rPr>
          <w:rFonts w:asciiTheme="minorHAnsi" w:hAnsiTheme="minorHAnsi" w:cstheme="minorHAnsi"/>
          <w:spacing w:val="-6"/>
        </w:rPr>
        <w:t>m</w:t>
      </w:r>
      <w:r w:rsidR="00DB71B4" w:rsidRPr="00FB48BE">
        <w:rPr>
          <w:rFonts w:asciiTheme="minorHAnsi" w:hAnsiTheme="minorHAnsi" w:cstheme="minorHAnsi"/>
          <w:spacing w:val="-6"/>
        </w:rPr>
        <w:t xml:space="preserve"> Województwa Wielkopolskiego</w:t>
      </w:r>
      <w:r w:rsidR="00BF3D01">
        <w:rPr>
          <w:rFonts w:asciiTheme="minorHAnsi" w:hAnsiTheme="minorHAnsi" w:cstheme="minorHAnsi"/>
          <w:spacing w:val="-6"/>
        </w:rPr>
        <w:t>, i tak</w:t>
      </w:r>
      <w:r w:rsidR="00CD5F7F" w:rsidRPr="00C5214A">
        <w:rPr>
          <w:rFonts w:asciiTheme="minorHAnsi" w:hAnsiTheme="minorHAnsi" w:cstheme="minorHAnsi"/>
        </w:rPr>
        <w:t>:</w:t>
      </w:r>
    </w:p>
    <w:p w:rsidR="00BB7CF6" w:rsidRPr="00C5214A" w:rsidRDefault="00BB7CF6" w:rsidP="00CD5F7F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CD5F7F" w:rsidRPr="00C5214A" w:rsidRDefault="00DC4FC9" w:rsidP="00CD5F7F">
      <w:pPr>
        <w:pStyle w:val="Akapitzlist0"/>
        <w:numPr>
          <w:ilvl w:val="0"/>
          <w:numId w:val="6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48BE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Kontrolę w </w:t>
      </w:r>
      <w:r w:rsidR="00CD5F7F" w:rsidRPr="00FB48BE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zakresie realizacji przez jednostki samorządu terytorialnego zadań dotyczących</w:t>
      </w:r>
      <w:r w:rsidR="00CD5F7F" w:rsidRPr="00C5214A">
        <w:rPr>
          <w:rFonts w:asciiTheme="minorHAnsi" w:hAnsiTheme="minorHAnsi" w:cstheme="minorHAnsi"/>
          <w:b/>
          <w:i/>
          <w:sz w:val="24"/>
          <w:szCs w:val="24"/>
        </w:rPr>
        <w:t xml:space="preserve"> udostępniania informacji publicznej</w:t>
      </w:r>
      <w:r w:rsidR="00CD5F7F" w:rsidRPr="00C5214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D5F7F" w:rsidRPr="00C5214A">
        <w:rPr>
          <w:rFonts w:asciiTheme="minorHAnsi" w:hAnsiTheme="minorHAnsi" w:cstheme="minorHAnsi"/>
          <w:sz w:val="24"/>
          <w:szCs w:val="24"/>
        </w:rPr>
        <w:t xml:space="preserve">działając na podstawie art. 29 ust. 1 pkt 2 lit. e oraz </w:t>
      </w:r>
      <w:r w:rsidR="00CD5F7F" w:rsidRPr="0015396B">
        <w:rPr>
          <w:rFonts w:asciiTheme="minorHAnsi" w:hAnsiTheme="minorHAnsi" w:cstheme="minorHAnsi"/>
          <w:spacing w:val="-4"/>
          <w:sz w:val="24"/>
          <w:szCs w:val="24"/>
        </w:rPr>
        <w:t xml:space="preserve">art. 40 ustawy z 23.12.1994 r. o </w:t>
      </w:r>
      <w:r>
        <w:rPr>
          <w:rFonts w:asciiTheme="minorHAnsi" w:hAnsiTheme="minorHAnsi" w:cstheme="minorHAnsi"/>
          <w:spacing w:val="-4"/>
          <w:sz w:val="24"/>
          <w:szCs w:val="24"/>
        </w:rPr>
        <w:t>NIK</w:t>
      </w:r>
      <w:r w:rsidR="00CD5F7F" w:rsidRPr="0015396B">
        <w:rPr>
          <w:rFonts w:asciiTheme="minorHAnsi" w:hAnsiTheme="minorHAnsi" w:cstheme="minorHAnsi"/>
          <w:spacing w:val="-4"/>
          <w:sz w:val="24"/>
          <w:szCs w:val="24"/>
        </w:rPr>
        <w:t xml:space="preserve"> (Dz. U. z 2020 r. poz. 1200 ze zm.).</w:t>
      </w:r>
      <w:r w:rsidR="00CD5F7F" w:rsidRPr="00C5214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D5F7F" w:rsidRPr="00C5214A" w:rsidRDefault="00CD5F7F" w:rsidP="00CD5F7F">
      <w:pPr>
        <w:pStyle w:val="Akapitzlist0"/>
        <w:tabs>
          <w:tab w:val="left" w:pos="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5214A">
        <w:rPr>
          <w:rFonts w:asciiTheme="minorHAnsi" w:hAnsiTheme="minorHAnsi" w:cstheme="minorHAnsi"/>
          <w:sz w:val="24"/>
          <w:szCs w:val="24"/>
        </w:rPr>
        <w:t>W wyniku przedmiotowej kontroli NIK Delegatura w Poznaniu skierowała do Marszałka Województwa Wielkopolskiego wystąpienie pokontrolne, w którym sformułowała poniższe wnioski pokontrolne</w:t>
      </w:r>
      <w:r w:rsidR="00FF6928">
        <w:rPr>
          <w:rFonts w:asciiTheme="minorHAnsi" w:hAnsiTheme="minorHAnsi" w:cstheme="minorHAnsi"/>
          <w:sz w:val="24"/>
          <w:szCs w:val="24"/>
        </w:rPr>
        <w:t>:</w:t>
      </w:r>
      <w:r w:rsidRPr="00C52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D5F7F" w:rsidRPr="00E02B86" w:rsidRDefault="00CD5F7F" w:rsidP="00CD5F7F">
      <w:pPr>
        <w:pStyle w:val="Akapitzlist0"/>
        <w:numPr>
          <w:ilvl w:val="3"/>
          <w:numId w:val="6"/>
        </w:numPr>
        <w:tabs>
          <w:tab w:val="left" w:pos="0"/>
        </w:tabs>
        <w:spacing w:after="0" w:line="360" w:lineRule="auto"/>
        <w:ind w:left="70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02B86">
        <w:rPr>
          <w:rFonts w:asciiTheme="minorHAnsi" w:hAnsiTheme="minorHAnsi" w:cstheme="minorHAnsi"/>
          <w:i/>
          <w:sz w:val="24"/>
          <w:szCs w:val="24"/>
        </w:rPr>
        <w:t>Podawanie w informacjach udostępnianych w BIP danych określających tożsamość osób, odpowiedzialnych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02B86">
        <w:rPr>
          <w:rFonts w:asciiTheme="minorHAnsi" w:hAnsiTheme="minorHAnsi" w:cstheme="minorHAnsi"/>
          <w:i/>
          <w:sz w:val="24"/>
          <w:szCs w:val="24"/>
        </w:rPr>
        <w:t xml:space="preserve">za wytworzenie i upublicznienie informacji oraz czasu udostępnienia informacji w BIP. </w:t>
      </w:r>
    </w:p>
    <w:p w:rsidR="00CD5F7F" w:rsidRDefault="00CD5F7F" w:rsidP="00CD5F7F">
      <w:pPr>
        <w:pStyle w:val="Akapitzlist0"/>
        <w:numPr>
          <w:ilvl w:val="0"/>
          <w:numId w:val="6"/>
        </w:numPr>
        <w:spacing w:after="0" w:line="360" w:lineRule="auto"/>
        <w:ind w:left="709"/>
        <w:jc w:val="both"/>
        <w:rPr>
          <w:rFonts w:asciiTheme="minorHAnsi" w:hAnsiTheme="minorHAnsi" w:cstheme="minorHAnsi"/>
          <w:i/>
        </w:rPr>
      </w:pPr>
      <w:r w:rsidRPr="00E02B86">
        <w:rPr>
          <w:rFonts w:asciiTheme="minorHAnsi" w:hAnsiTheme="minorHAnsi" w:cstheme="minorHAnsi"/>
          <w:i/>
          <w:sz w:val="24"/>
          <w:szCs w:val="24"/>
        </w:rPr>
        <w:t xml:space="preserve">Udostępnianie w BIP dokumentów dotyczących przebiegu i efektów kontroli oraz wystąpień, stanowisk, wniosków oraz opinii podmiotów je przeprowadzających, zgodnie z wymogami ustawy o </w:t>
      </w:r>
      <w:proofErr w:type="spellStart"/>
      <w:r w:rsidRPr="00E02B86">
        <w:rPr>
          <w:rFonts w:asciiTheme="minorHAnsi" w:hAnsiTheme="minorHAnsi" w:cstheme="minorHAnsi"/>
          <w:i/>
          <w:sz w:val="24"/>
          <w:szCs w:val="24"/>
        </w:rPr>
        <w:t>d.i.p</w:t>
      </w:r>
      <w:proofErr w:type="spellEnd"/>
      <w:r w:rsidRPr="00C5214A">
        <w:rPr>
          <w:rFonts w:asciiTheme="minorHAnsi" w:hAnsiTheme="minorHAnsi" w:cstheme="minorHAnsi"/>
          <w:i/>
        </w:rPr>
        <w:t>.</w:t>
      </w:r>
    </w:p>
    <w:p w:rsidR="00FF6928" w:rsidRPr="00C5214A" w:rsidRDefault="00FF6928" w:rsidP="00FB48BE">
      <w:pPr>
        <w:pStyle w:val="Akapitzlist0"/>
        <w:spacing w:after="0" w:line="360" w:lineRule="auto"/>
        <w:ind w:left="709"/>
        <w:jc w:val="both"/>
        <w:rPr>
          <w:rFonts w:asciiTheme="minorHAnsi" w:hAnsiTheme="minorHAnsi" w:cstheme="minorHAnsi"/>
          <w:i/>
        </w:rPr>
      </w:pPr>
    </w:p>
    <w:p w:rsidR="00CD5F7F" w:rsidRPr="00C5214A" w:rsidRDefault="00BB5997" w:rsidP="00CD5F7F">
      <w:pPr>
        <w:pStyle w:val="Akapitzlist0"/>
        <w:numPr>
          <w:ilvl w:val="0"/>
          <w:numId w:val="14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FB48BE">
        <w:rPr>
          <w:rFonts w:asciiTheme="minorHAnsi" w:hAnsiTheme="minorHAnsi" w:cstheme="minorHAnsi"/>
          <w:b/>
          <w:spacing w:val="-2"/>
        </w:rPr>
        <w:t xml:space="preserve">Kontrolę </w:t>
      </w:r>
      <w:r w:rsidRPr="00FB48BE">
        <w:rPr>
          <w:rFonts w:asciiTheme="minorHAnsi" w:hAnsiTheme="minorHAnsi" w:cstheme="minorHAnsi"/>
          <w:b/>
          <w:spacing w:val="-2"/>
          <w:sz w:val="24"/>
          <w:szCs w:val="24"/>
        </w:rPr>
        <w:t>w</w:t>
      </w:r>
      <w:r w:rsidR="00CD5F7F" w:rsidRPr="00FB48B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zakresie </w:t>
      </w:r>
      <w:r w:rsidR="00CD5F7F" w:rsidRPr="00FB48BE">
        <w:rPr>
          <w:rFonts w:asciiTheme="minorHAnsi" w:hAnsiTheme="minorHAnsi" w:cstheme="minorHAnsi"/>
          <w:b/>
          <w:i/>
          <w:spacing w:val="-2"/>
          <w:sz w:val="24"/>
          <w:szCs w:val="24"/>
        </w:rPr>
        <w:t>udzielania koncesji na wydobywanie kopalin stałych i węglowodorów</w:t>
      </w:r>
      <w:r w:rsidR="00CD5F7F" w:rsidRPr="00C5214A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</w:p>
    <w:p w:rsidR="00CD5F7F" w:rsidRPr="00C5214A" w:rsidRDefault="00CD5F7F" w:rsidP="00CD5F7F">
      <w:pPr>
        <w:spacing w:after="0" w:line="360" w:lineRule="auto"/>
        <w:ind w:left="284"/>
        <w:jc w:val="both"/>
        <w:rPr>
          <w:rFonts w:asciiTheme="minorHAnsi" w:hAnsiTheme="minorHAnsi" w:cstheme="minorHAnsi"/>
          <w:spacing w:val="-4"/>
        </w:rPr>
      </w:pPr>
      <w:r w:rsidRPr="00C5214A">
        <w:rPr>
          <w:rFonts w:asciiTheme="minorHAnsi" w:hAnsiTheme="minorHAnsi" w:cstheme="minorHAnsi"/>
        </w:rPr>
        <w:t xml:space="preserve">W wyniku przedmiotowej kontroli Najwyższa Izba Kontroli Delegatura w Poznaniu skierowała </w:t>
      </w:r>
      <w:r w:rsidRPr="00C5214A">
        <w:rPr>
          <w:rFonts w:asciiTheme="minorHAnsi" w:hAnsiTheme="minorHAnsi" w:cstheme="minorHAnsi"/>
          <w:spacing w:val="-4"/>
        </w:rPr>
        <w:t xml:space="preserve">do Marszałka Województwa Wielkopolskiego wystąpienie pokontrolne, w którym stwierdziła, że postępowania administracyjne w sprawie udzielenia koncesji na wydobywanie kopalin stałych, jej zmiany lub przeniesienia były prowadzone na ogół prawidłowo i zgodnie </w:t>
      </w:r>
      <w:r>
        <w:rPr>
          <w:rFonts w:asciiTheme="minorHAnsi" w:hAnsiTheme="minorHAnsi" w:cstheme="minorHAnsi"/>
          <w:spacing w:val="-4"/>
        </w:rPr>
        <w:br/>
      </w:r>
      <w:r w:rsidRPr="00C5214A">
        <w:rPr>
          <w:rFonts w:asciiTheme="minorHAnsi" w:hAnsiTheme="minorHAnsi" w:cstheme="minorHAnsi"/>
          <w:spacing w:val="-4"/>
        </w:rPr>
        <w:t xml:space="preserve">z przepisami ustawy z dnia 9 czerwca 2011 r. Prawo geologiczne i górnicze (tj. Dz. U. z 2021 r., poz. 1420 ze zm.). Wywiązywanie </w:t>
      </w:r>
      <w:r w:rsidRPr="00C5214A">
        <w:rPr>
          <w:rFonts w:asciiTheme="minorHAnsi" w:hAnsiTheme="minorHAnsi" w:cstheme="minorHAnsi"/>
        </w:rPr>
        <w:t>się przedsiębiorców z warunków udzielonych koncesji na wydobywanie kopalin stałych monitorowano</w:t>
      </w:r>
      <w:r w:rsidRPr="00C5214A">
        <w:rPr>
          <w:rFonts w:asciiTheme="minorHAnsi" w:hAnsiTheme="minorHAnsi" w:cstheme="minorHAnsi"/>
          <w:spacing w:val="-4"/>
        </w:rPr>
        <w:t xml:space="preserve"> poprzez przeprowadzenie 29 kontroli (11% koncesji obowiązujących przez cały okres objęty kontrolą NIK). Przeprowadzenie wszystkich zaplanowanych kontroli w latach 2020-2021 uniemożliwił stan epidemii COVID-19 </w:t>
      </w:r>
      <w:r>
        <w:rPr>
          <w:rFonts w:asciiTheme="minorHAnsi" w:hAnsiTheme="minorHAnsi" w:cstheme="minorHAnsi"/>
          <w:spacing w:val="-4"/>
        </w:rPr>
        <w:br/>
      </w:r>
      <w:r w:rsidRPr="00C5214A">
        <w:rPr>
          <w:rFonts w:asciiTheme="minorHAnsi" w:hAnsiTheme="minorHAnsi" w:cstheme="minorHAnsi"/>
          <w:spacing w:val="-4"/>
        </w:rPr>
        <w:t xml:space="preserve">i wprowadzone w związku z nim obostrzenia sanitarne. </w:t>
      </w:r>
    </w:p>
    <w:p w:rsidR="00CD5F7F" w:rsidRDefault="008A33D7" w:rsidP="00CD5F7F">
      <w:pPr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W ww. wystąpieniu </w:t>
      </w:r>
      <w:r w:rsidR="00CD5F7F" w:rsidRPr="00C5214A">
        <w:rPr>
          <w:rFonts w:asciiTheme="minorHAnsi" w:hAnsiTheme="minorHAnsi" w:cstheme="minorHAnsi"/>
          <w:spacing w:val="-6"/>
        </w:rPr>
        <w:t>NIK Delegatura w Poznaniu wniosła o podjęcie działań w celu zapewnienia</w:t>
      </w:r>
      <w:r w:rsidR="00CD5F7F" w:rsidRPr="00C5214A">
        <w:rPr>
          <w:rFonts w:asciiTheme="minorHAnsi" w:hAnsiTheme="minorHAnsi" w:cstheme="minorHAnsi"/>
        </w:rPr>
        <w:t xml:space="preserve">: </w:t>
      </w:r>
    </w:p>
    <w:p w:rsidR="00CD5F7F" w:rsidRPr="00C5214A" w:rsidRDefault="00CD5F7F" w:rsidP="00CD5F7F">
      <w:pPr>
        <w:spacing w:after="0" w:line="360" w:lineRule="auto"/>
        <w:ind w:left="567" w:hanging="283"/>
        <w:jc w:val="both"/>
        <w:rPr>
          <w:rFonts w:asciiTheme="minorHAnsi" w:hAnsiTheme="minorHAnsi" w:cstheme="minorHAnsi"/>
          <w:i/>
        </w:rPr>
      </w:pPr>
      <w:r w:rsidRPr="00C5214A">
        <w:rPr>
          <w:rFonts w:asciiTheme="minorHAnsi" w:hAnsiTheme="minorHAnsi" w:cstheme="minorHAnsi"/>
          <w:i/>
        </w:rPr>
        <w:lastRenderedPageBreak/>
        <w:t>1)</w:t>
      </w:r>
      <w:r w:rsidRPr="00C5214A">
        <w:rPr>
          <w:rFonts w:asciiTheme="minorHAnsi" w:hAnsiTheme="minorHAnsi" w:cstheme="minorHAnsi"/>
          <w:i/>
        </w:rPr>
        <w:tab/>
        <w:t xml:space="preserve">rozpatrywania kompletnych wniosków o udzielenie koncesji, tj. zawierających dane </w:t>
      </w:r>
      <w:r>
        <w:rPr>
          <w:rFonts w:asciiTheme="minorHAnsi" w:hAnsiTheme="minorHAnsi" w:cstheme="minorHAnsi"/>
          <w:i/>
        </w:rPr>
        <w:br/>
      </w:r>
      <w:r w:rsidRPr="00C5214A">
        <w:rPr>
          <w:rFonts w:asciiTheme="minorHAnsi" w:hAnsiTheme="minorHAnsi" w:cstheme="minorHAnsi"/>
          <w:i/>
        </w:rPr>
        <w:t xml:space="preserve">o środkach, jakimi wnioskodawcy dysponują w celu zapewnienia prawidłowego </w:t>
      </w:r>
      <w:r w:rsidRPr="002B396F">
        <w:rPr>
          <w:rFonts w:asciiTheme="minorHAnsi" w:hAnsiTheme="minorHAnsi" w:cstheme="minorHAnsi"/>
          <w:i/>
          <w:spacing w:val="-4"/>
        </w:rPr>
        <w:t>wykonania zamierzonej działalności wraz z dowodami istnienia przedstawionych środków</w:t>
      </w:r>
      <w:r w:rsidRPr="00C5214A">
        <w:rPr>
          <w:rFonts w:asciiTheme="minorHAnsi" w:hAnsiTheme="minorHAnsi" w:cstheme="minorHAnsi"/>
          <w:i/>
        </w:rPr>
        <w:t xml:space="preserve">, </w:t>
      </w:r>
    </w:p>
    <w:p w:rsidR="00CD5F7F" w:rsidRPr="00C5214A" w:rsidRDefault="00CD5F7F" w:rsidP="00CD5F7F">
      <w:pPr>
        <w:spacing w:after="0" w:line="360" w:lineRule="auto"/>
        <w:ind w:left="567" w:hanging="283"/>
        <w:jc w:val="both"/>
        <w:rPr>
          <w:rFonts w:asciiTheme="minorHAnsi" w:hAnsiTheme="minorHAnsi" w:cstheme="minorHAnsi"/>
          <w:i/>
        </w:rPr>
      </w:pPr>
      <w:r w:rsidRPr="00C5214A">
        <w:rPr>
          <w:rFonts w:asciiTheme="minorHAnsi" w:hAnsiTheme="minorHAnsi" w:cstheme="minorHAnsi"/>
          <w:i/>
        </w:rPr>
        <w:t>2)</w:t>
      </w:r>
      <w:r w:rsidRPr="00C5214A">
        <w:rPr>
          <w:rFonts w:asciiTheme="minorHAnsi" w:hAnsiTheme="minorHAnsi" w:cstheme="minorHAnsi"/>
          <w:i/>
        </w:rPr>
        <w:tab/>
        <w:t xml:space="preserve">terminowego przekazywania państwowej służbie geologicznej dokumentów stanowiących podstawę wpisu do rejestru obszarów górniczych, </w:t>
      </w:r>
    </w:p>
    <w:p w:rsidR="00CD5F7F" w:rsidRDefault="00CD5F7F" w:rsidP="00CD5F7F">
      <w:pPr>
        <w:spacing w:after="0" w:line="360" w:lineRule="auto"/>
        <w:ind w:left="567" w:hanging="283"/>
        <w:jc w:val="both"/>
        <w:rPr>
          <w:rFonts w:asciiTheme="minorHAnsi" w:hAnsiTheme="minorHAnsi" w:cstheme="minorHAnsi"/>
          <w:i/>
        </w:rPr>
      </w:pPr>
      <w:r w:rsidRPr="00C5214A">
        <w:rPr>
          <w:rFonts w:asciiTheme="minorHAnsi" w:hAnsiTheme="minorHAnsi" w:cstheme="minorHAnsi"/>
          <w:i/>
        </w:rPr>
        <w:t>3)</w:t>
      </w:r>
      <w:r w:rsidRPr="00C5214A">
        <w:rPr>
          <w:rFonts w:asciiTheme="minorHAnsi" w:hAnsiTheme="minorHAnsi" w:cstheme="minorHAnsi"/>
          <w:i/>
        </w:rPr>
        <w:tab/>
        <w:t xml:space="preserve">zamieszczenia w BIP UMWW ogólnego schematu procedur kontroli, które wynikają </w:t>
      </w:r>
      <w:r>
        <w:rPr>
          <w:rFonts w:asciiTheme="minorHAnsi" w:hAnsiTheme="minorHAnsi" w:cstheme="minorHAnsi"/>
          <w:i/>
        </w:rPr>
        <w:br/>
      </w:r>
      <w:r w:rsidRPr="00C5214A">
        <w:rPr>
          <w:rFonts w:asciiTheme="minorHAnsi" w:hAnsiTheme="minorHAnsi" w:cstheme="minorHAnsi"/>
          <w:i/>
        </w:rPr>
        <w:t xml:space="preserve">z przepisów powszechnie obowiązującego prawa. </w:t>
      </w:r>
    </w:p>
    <w:p w:rsidR="00FA3A0F" w:rsidRPr="00C5214A" w:rsidRDefault="00FA3A0F" w:rsidP="00CD5F7F">
      <w:pPr>
        <w:spacing w:after="0" w:line="360" w:lineRule="auto"/>
        <w:ind w:left="567" w:hanging="283"/>
        <w:jc w:val="both"/>
        <w:rPr>
          <w:rFonts w:asciiTheme="minorHAnsi" w:hAnsiTheme="minorHAnsi" w:cstheme="minorHAnsi"/>
          <w:i/>
        </w:rPr>
      </w:pPr>
    </w:p>
    <w:p w:rsidR="00CD5F7F" w:rsidRPr="00C5214A" w:rsidRDefault="00FA3A0F" w:rsidP="00CD5F7F">
      <w:pPr>
        <w:pStyle w:val="Akapitzlist0"/>
        <w:numPr>
          <w:ilvl w:val="0"/>
          <w:numId w:val="14"/>
        </w:numPr>
        <w:tabs>
          <w:tab w:val="left" w:pos="284"/>
        </w:tabs>
        <w:spacing w:before="120" w:after="0" w:line="36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</w:t>
      </w:r>
      <w:r w:rsidR="00CD5F7F" w:rsidRPr="00C5214A">
        <w:rPr>
          <w:rFonts w:asciiTheme="minorHAnsi" w:hAnsiTheme="minorHAnsi" w:cstheme="minorHAnsi"/>
          <w:b/>
          <w:sz w:val="24"/>
          <w:szCs w:val="24"/>
        </w:rPr>
        <w:t xml:space="preserve">ntrolę obejmującą </w:t>
      </w:r>
      <w:r w:rsidR="00CD5F7F" w:rsidRPr="00C5214A">
        <w:rPr>
          <w:rFonts w:asciiTheme="minorHAnsi" w:hAnsiTheme="minorHAnsi" w:cstheme="minorHAnsi"/>
          <w:b/>
          <w:i/>
          <w:sz w:val="24"/>
          <w:szCs w:val="24"/>
        </w:rPr>
        <w:t>Efekty wybranych działań państwa podejmowanych w celu łagodzenia skutków epidemii w gospodarce.</w:t>
      </w:r>
    </w:p>
    <w:p w:rsidR="002F4A9F" w:rsidRPr="00FB48BE" w:rsidRDefault="002F4A9F" w:rsidP="002F4A9F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FB48BE">
        <w:rPr>
          <w:rFonts w:asciiTheme="minorHAnsi" w:hAnsiTheme="minorHAnsi" w:cstheme="minorHAnsi"/>
          <w:spacing w:val="-2"/>
        </w:rPr>
        <w:t xml:space="preserve">W wyniku przedmiotowej kontroli NIK </w:t>
      </w:r>
      <w:r w:rsidRPr="00FB48BE">
        <w:rPr>
          <w:rFonts w:asciiTheme="minorHAnsi" w:hAnsiTheme="minorHAnsi" w:cstheme="minorHAnsi"/>
        </w:rPr>
        <w:t xml:space="preserve">Delegatura w Poznaniu </w:t>
      </w:r>
      <w:r w:rsidRPr="00FB48BE">
        <w:rPr>
          <w:rFonts w:asciiTheme="minorHAnsi" w:hAnsiTheme="minorHAnsi" w:cstheme="minorHAnsi"/>
          <w:spacing w:val="-2"/>
        </w:rPr>
        <w:t>skierowała do Marszałka Województwa Wielkopolskiego</w:t>
      </w:r>
      <w:r w:rsidRPr="00FB48BE">
        <w:rPr>
          <w:rFonts w:asciiTheme="minorHAnsi" w:hAnsiTheme="minorHAnsi" w:cstheme="minorHAnsi"/>
        </w:rPr>
        <w:t xml:space="preserve"> wystąpienie pokontrolne, w którym stwierdziła, że w  kontrolowanym okresie (ustalenia, na których oparto wystąpienie i sformułowano ocenę nie wykraczają poza grudzień 2021 r.) Marszałek Województwa Wielkopolskiego podejmował skuteczne działania organizacyjne w celu przekazywania pomocy finansowej przedsiębiorcom poszkodowanym w wyniku epidemii COVID-19. Sposób przygotowania i rozdysponowania źródeł finansowania instrumentów pomocowych był zgodny z obowiązującymi przepisami. NIK </w:t>
      </w:r>
      <w:r w:rsidR="00A50FF9">
        <w:rPr>
          <w:rFonts w:asciiTheme="minorHAnsi" w:hAnsiTheme="minorHAnsi" w:cstheme="minorHAnsi"/>
        </w:rPr>
        <w:t xml:space="preserve">w ww. wystąpieniu </w:t>
      </w:r>
      <w:r w:rsidRPr="00FB48BE">
        <w:rPr>
          <w:rFonts w:asciiTheme="minorHAnsi" w:hAnsiTheme="minorHAnsi" w:cstheme="minorHAnsi"/>
        </w:rPr>
        <w:t>wniosła o podejmowanie działań mających na celu rzetelne rozpoznawanie lokalnych uwarunkowań i potrzeb zapewniające rozdysponowywanie udzielanej pomocy (jak w przypadku przedsiębiorców poszkodowanych w wyniku epidemii COVID-19) w sposób adekwatny do faktycznie istniejących potrzeb.</w:t>
      </w:r>
    </w:p>
    <w:p w:rsidR="002F4A9F" w:rsidRPr="00C5214A" w:rsidRDefault="002F4A9F" w:rsidP="00CD5F7F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CD5F7F" w:rsidRPr="00C5214A" w:rsidRDefault="00CD5F7F" w:rsidP="00CD5F7F">
      <w:pPr>
        <w:pStyle w:val="Akapitzlist0"/>
        <w:numPr>
          <w:ilvl w:val="0"/>
          <w:numId w:val="31"/>
        </w:numPr>
        <w:tabs>
          <w:tab w:val="left" w:pos="284"/>
        </w:tabs>
        <w:spacing w:before="120" w:after="0" w:line="360" w:lineRule="auto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C5214A">
        <w:rPr>
          <w:rFonts w:asciiTheme="minorHAnsi" w:hAnsiTheme="minorHAnsi" w:cstheme="minorHAnsi"/>
          <w:b/>
          <w:spacing w:val="-2"/>
          <w:sz w:val="24"/>
          <w:szCs w:val="24"/>
        </w:rPr>
        <w:t xml:space="preserve">Przeprowadziła kontrolę w zakresie opieki psychiatrycznej i psychologicznej nad dziećmi 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br/>
      </w:r>
      <w:r w:rsidRPr="00C5214A">
        <w:rPr>
          <w:rFonts w:asciiTheme="minorHAnsi" w:hAnsiTheme="minorHAnsi" w:cstheme="minorHAnsi"/>
          <w:b/>
          <w:spacing w:val="-2"/>
          <w:sz w:val="24"/>
          <w:szCs w:val="24"/>
        </w:rPr>
        <w:t>i młodzieżą w Województwie Wielkopolskim.</w:t>
      </w:r>
    </w:p>
    <w:p w:rsidR="00CD5F7F" w:rsidRPr="00C5214A" w:rsidRDefault="00CD5F7F" w:rsidP="00CD5F7F">
      <w:pPr>
        <w:pStyle w:val="Akapitzlist0"/>
        <w:tabs>
          <w:tab w:val="left" w:pos="284"/>
        </w:tabs>
        <w:spacing w:after="0" w:line="360" w:lineRule="auto"/>
        <w:ind w:left="357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C5214A">
        <w:rPr>
          <w:rFonts w:asciiTheme="minorHAnsi" w:hAnsiTheme="minorHAnsi" w:cstheme="minorHAnsi"/>
          <w:spacing w:val="-2"/>
          <w:sz w:val="24"/>
          <w:szCs w:val="24"/>
        </w:rPr>
        <w:t xml:space="preserve">W wyniku przedmiotowej kontroli Najwyższa Izba Kontroli Delegatura w Poznaniu skierowała </w:t>
      </w:r>
      <w:r w:rsidRPr="00C5214A">
        <w:rPr>
          <w:rFonts w:asciiTheme="minorHAnsi" w:hAnsiTheme="minorHAnsi" w:cstheme="minorHAnsi"/>
          <w:spacing w:val="-6"/>
          <w:sz w:val="24"/>
          <w:szCs w:val="24"/>
        </w:rPr>
        <w:t>do Marszałka Województwa Wielkopolskiego wystąpienie pokontrolne, w którym poinformowała</w:t>
      </w:r>
      <w:r w:rsidRPr="00C5214A">
        <w:rPr>
          <w:rFonts w:asciiTheme="minorHAnsi" w:hAnsiTheme="minorHAnsi" w:cstheme="minorHAnsi"/>
          <w:spacing w:val="-2"/>
          <w:sz w:val="24"/>
          <w:szCs w:val="24"/>
        </w:rPr>
        <w:t>,  że w działalności kontrolowanej jednostki w przedstawionym wyżej zakresie nie stwierdzono nieprawidłowości. W związku z tym NIK nie formułowała uwag ani wniosków.</w:t>
      </w:r>
    </w:p>
    <w:p w:rsidR="00CD5F7F" w:rsidRPr="00FB48BE" w:rsidRDefault="00CD5F7F" w:rsidP="008178AE">
      <w:pPr>
        <w:pStyle w:val="Akapitzlist0"/>
        <w:numPr>
          <w:ilvl w:val="0"/>
          <w:numId w:val="31"/>
        </w:numPr>
        <w:tabs>
          <w:tab w:val="left" w:pos="284"/>
        </w:tabs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48B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Najwyższa Izba Kontroli </w:t>
      </w:r>
      <w:r w:rsidR="009868E0" w:rsidRPr="003E4E57">
        <w:rPr>
          <w:rFonts w:asciiTheme="minorHAnsi" w:hAnsiTheme="minorHAnsi" w:cstheme="minorHAnsi"/>
          <w:b/>
          <w:sz w:val="24"/>
          <w:szCs w:val="24"/>
        </w:rPr>
        <w:t>przeprowadziła</w:t>
      </w:r>
      <w:r w:rsidR="009868E0" w:rsidRPr="00FB48B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48BE">
        <w:rPr>
          <w:rFonts w:asciiTheme="minorHAnsi" w:hAnsiTheme="minorHAnsi" w:cstheme="minorHAnsi"/>
          <w:b/>
          <w:sz w:val="24"/>
          <w:szCs w:val="24"/>
        </w:rPr>
        <w:t>kontrolę obejmującą system szkolenia kandydatów na kierowców.</w:t>
      </w:r>
    </w:p>
    <w:p w:rsidR="00CD5F7F" w:rsidRPr="003E4E57" w:rsidRDefault="00CD5F7F" w:rsidP="00FB48BE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3E4E57">
        <w:rPr>
          <w:rFonts w:asciiTheme="minorHAnsi" w:hAnsiTheme="minorHAnsi" w:cstheme="minorHAnsi"/>
        </w:rPr>
        <w:t xml:space="preserve">W wyniku przedmiotowej kontroli Najwyższa Izba Kontroli Delegatura w Poznaniu skierowała </w:t>
      </w:r>
      <w:r w:rsidRPr="003E4E57">
        <w:rPr>
          <w:rFonts w:asciiTheme="minorHAnsi" w:hAnsiTheme="minorHAnsi" w:cstheme="minorHAnsi"/>
          <w:spacing w:val="-4"/>
        </w:rPr>
        <w:t xml:space="preserve">do Marszałka Województwa Wielkopolskiego wystąpienie pokontrolne, w którym </w:t>
      </w:r>
      <w:r w:rsidRPr="003E4E57">
        <w:rPr>
          <w:rFonts w:asciiTheme="minorHAnsi" w:hAnsiTheme="minorHAnsi" w:cstheme="minorHAnsi"/>
        </w:rPr>
        <w:t>sformułowała poniższe wnioski pokontrolne:</w:t>
      </w:r>
    </w:p>
    <w:p w:rsidR="00CD5F7F" w:rsidRPr="00FB48BE" w:rsidRDefault="00CD5F7F" w:rsidP="003E4E57">
      <w:pPr>
        <w:pStyle w:val="Akapitzlist0"/>
        <w:numPr>
          <w:ilvl w:val="2"/>
          <w:numId w:val="3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i/>
          <w:spacing w:val="-6"/>
          <w:sz w:val="24"/>
          <w:szCs w:val="24"/>
        </w:rPr>
      </w:pPr>
      <w:r w:rsidRPr="00FB48BE">
        <w:rPr>
          <w:rFonts w:asciiTheme="minorHAnsi" w:hAnsiTheme="minorHAnsi" w:cstheme="minorHAnsi"/>
          <w:i/>
          <w:spacing w:val="-6"/>
          <w:sz w:val="24"/>
          <w:szCs w:val="24"/>
        </w:rPr>
        <w:t>stosowanie na upoważnieniach do kontroli WORD okrągłej pieczęci organu wydającego upoważnienie</w:t>
      </w:r>
      <w:r w:rsidR="00023C8E" w:rsidRPr="00FB48BE">
        <w:rPr>
          <w:rFonts w:asciiTheme="minorHAnsi" w:hAnsiTheme="minorHAnsi" w:cstheme="minorHAnsi"/>
          <w:i/>
          <w:spacing w:val="-6"/>
          <w:sz w:val="24"/>
          <w:szCs w:val="24"/>
        </w:rPr>
        <w:t>;</w:t>
      </w:r>
    </w:p>
    <w:p w:rsidR="00CD5F7F" w:rsidRPr="00FB48BE" w:rsidRDefault="00CD5F7F" w:rsidP="003E4E57">
      <w:pPr>
        <w:pStyle w:val="Akapitzlist0"/>
        <w:numPr>
          <w:ilvl w:val="2"/>
          <w:numId w:val="3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i/>
          <w:spacing w:val="-6"/>
          <w:sz w:val="24"/>
          <w:szCs w:val="24"/>
        </w:rPr>
      </w:pPr>
      <w:r w:rsidRPr="00FB48BE">
        <w:rPr>
          <w:rFonts w:asciiTheme="minorHAnsi" w:hAnsiTheme="minorHAnsi" w:cstheme="minorHAnsi"/>
          <w:i/>
          <w:spacing w:val="-6"/>
          <w:sz w:val="24"/>
          <w:szCs w:val="24"/>
        </w:rPr>
        <w:t>prowadzenie ewidencji egzaminatorów zawierającej aktualne, prawidłowe i kompletne dane</w:t>
      </w:r>
      <w:r w:rsidR="00023C8E" w:rsidRPr="00FB48BE">
        <w:rPr>
          <w:rFonts w:asciiTheme="minorHAnsi" w:hAnsiTheme="minorHAnsi" w:cstheme="minorHAnsi"/>
          <w:i/>
          <w:spacing w:val="-6"/>
          <w:sz w:val="24"/>
          <w:szCs w:val="24"/>
        </w:rPr>
        <w:t>;</w:t>
      </w:r>
    </w:p>
    <w:p w:rsidR="00CD5F7F" w:rsidRPr="003E4E57" w:rsidRDefault="00CD5F7F" w:rsidP="003E4E57">
      <w:pPr>
        <w:pStyle w:val="Akapitzlist0"/>
        <w:numPr>
          <w:ilvl w:val="2"/>
          <w:numId w:val="3"/>
        </w:numPr>
        <w:tabs>
          <w:tab w:val="left" w:pos="284"/>
        </w:tabs>
        <w:spacing w:after="0" w:line="360" w:lineRule="auto"/>
        <w:ind w:left="284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E4E57">
        <w:rPr>
          <w:rFonts w:asciiTheme="minorHAnsi" w:hAnsiTheme="minorHAnsi" w:cstheme="minorHAnsi"/>
          <w:i/>
          <w:sz w:val="24"/>
          <w:szCs w:val="24"/>
        </w:rPr>
        <w:t>występowanie do Policji o informacje o wpisach do ewidencji kierowców naruszających przepisy ruchu drogowego celem weryfikowania spełniania wymogu zapewnienia rękojmi należytego wykonywania obowiązków w stosunku do osób ubiegających się oraz posiadających uprawnienia egzaminatora.</w:t>
      </w:r>
    </w:p>
    <w:p w:rsidR="00CD5F7F" w:rsidRPr="00C5214A" w:rsidRDefault="00CD5F7F" w:rsidP="00CD5F7F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pacing w:val="-2"/>
        </w:rPr>
      </w:pPr>
    </w:p>
    <w:p w:rsidR="00CD5F7F" w:rsidRPr="00C5214A" w:rsidRDefault="000C72B7" w:rsidP="00CD5F7F">
      <w:pPr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2"/>
        </w:rPr>
        <w:t xml:space="preserve">6. </w:t>
      </w:r>
      <w:r w:rsidR="00CD5F7F" w:rsidRPr="00C5214A">
        <w:rPr>
          <w:rFonts w:asciiTheme="minorHAnsi" w:hAnsiTheme="minorHAnsi" w:cstheme="minorHAnsi"/>
          <w:b/>
          <w:spacing w:val="-4"/>
        </w:rPr>
        <w:t xml:space="preserve">REGIONALNA IZBA OBRACHUNKOWA W POZNANIU </w:t>
      </w:r>
      <w:r>
        <w:rPr>
          <w:rFonts w:asciiTheme="minorHAnsi" w:hAnsiTheme="minorHAnsi" w:cstheme="minorHAnsi"/>
          <w:b/>
          <w:spacing w:val="-4"/>
        </w:rPr>
        <w:t>przeprowadziła</w:t>
      </w:r>
      <w:r w:rsidRPr="00C5214A">
        <w:rPr>
          <w:rFonts w:asciiTheme="minorHAnsi" w:hAnsiTheme="minorHAnsi" w:cstheme="minorHAnsi"/>
          <w:b/>
          <w:spacing w:val="-4"/>
        </w:rPr>
        <w:t xml:space="preserve"> </w:t>
      </w:r>
      <w:r w:rsidR="00CD5F7F" w:rsidRPr="00C5214A">
        <w:rPr>
          <w:rFonts w:asciiTheme="minorHAnsi" w:hAnsiTheme="minorHAnsi" w:cstheme="minorHAnsi"/>
          <w:b/>
          <w:spacing w:val="-4"/>
        </w:rPr>
        <w:t xml:space="preserve">kontrolę </w:t>
      </w:r>
      <w:r w:rsidR="00CD5F7F" w:rsidRPr="00FB48BE">
        <w:rPr>
          <w:rFonts w:asciiTheme="minorHAnsi" w:hAnsiTheme="minorHAnsi" w:cstheme="minorHAnsi"/>
          <w:b/>
          <w:spacing w:val="-6"/>
        </w:rPr>
        <w:t>kompleksową gospodarki finansowej Samorządu Województwa Wielkopolskiego</w:t>
      </w:r>
      <w:r w:rsidR="000F2975">
        <w:rPr>
          <w:rFonts w:asciiTheme="minorHAnsi" w:hAnsiTheme="minorHAnsi" w:cstheme="minorHAnsi"/>
          <w:b/>
          <w:spacing w:val="-6"/>
        </w:rPr>
        <w:t>,</w:t>
      </w:r>
      <w:r w:rsidR="00CD5F7F" w:rsidRPr="00C5214A">
        <w:rPr>
          <w:rFonts w:asciiTheme="minorHAnsi" w:hAnsiTheme="minorHAnsi" w:cstheme="minorHAnsi"/>
          <w:b/>
        </w:rPr>
        <w:t xml:space="preserve"> za okres od dnia 1 stycznia 2020 roku do dnia 31 grudnia 2020 roku, a w miarę potrzeb także inne lata. </w:t>
      </w:r>
    </w:p>
    <w:p w:rsidR="00CD5F7F" w:rsidRPr="00C5214A" w:rsidRDefault="00CD5F7F" w:rsidP="00CD5F7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C5214A">
        <w:rPr>
          <w:rFonts w:asciiTheme="minorHAnsi" w:hAnsiTheme="minorHAnsi" w:cstheme="minorHAnsi"/>
        </w:rPr>
        <w:t xml:space="preserve">W wyniku powyższej kontroli Regionalna Izba Obrachunkowa w Poznaniu skierowała do </w:t>
      </w:r>
      <w:r w:rsidRPr="00FB48BE">
        <w:rPr>
          <w:rFonts w:asciiTheme="minorHAnsi" w:hAnsiTheme="minorHAnsi" w:cstheme="minorHAnsi"/>
          <w:spacing w:val="-4"/>
        </w:rPr>
        <w:t>Marszałka Województwa Wielkopolskiego wystąpienie pokontrolne, w którym wniosła o realizację</w:t>
      </w:r>
      <w:r w:rsidRPr="00C5214A">
        <w:rPr>
          <w:rFonts w:asciiTheme="minorHAnsi" w:hAnsiTheme="minorHAnsi" w:cstheme="minorHAnsi"/>
        </w:rPr>
        <w:t xml:space="preserve"> poniższych wniosków pokontrolnych</w:t>
      </w:r>
      <w:r w:rsidR="004174BC">
        <w:rPr>
          <w:rFonts w:asciiTheme="minorHAnsi" w:hAnsiTheme="minorHAnsi" w:cstheme="minorHAnsi"/>
        </w:rPr>
        <w:t>:</w:t>
      </w:r>
      <w:r w:rsidRPr="00C5214A">
        <w:rPr>
          <w:rFonts w:asciiTheme="minorHAnsi" w:hAnsiTheme="minorHAnsi" w:cstheme="minorHAnsi"/>
        </w:rPr>
        <w:t xml:space="preserve"> </w:t>
      </w:r>
    </w:p>
    <w:p w:rsidR="00CD5F7F" w:rsidRPr="00C5214A" w:rsidRDefault="00CD5F7F" w:rsidP="00CD5F7F">
      <w:pPr>
        <w:pStyle w:val="Akapitzlist0"/>
        <w:numPr>
          <w:ilvl w:val="0"/>
          <w:numId w:val="19"/>
        </w:numPr>
        <w:spacing w:before="240"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214A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Zobowiązać służby finansowe do przestrzegania zasad zawartych w ustawie z dnia 29 </w:t>
      </w:r>
      <w:r w:rsidRPr="00C5214A">
        <w:rPr>
          <w:rFonts w:asciiTheme="minorHAnsi" w:hAnsiTheme="minorHAnsi" w:cstheme="minorHAnsi"/>
          <w:i/>
          <w:spacing w:val="-4"/>
          <w:sz w:val="24"/>
          <w:szCs w:val="24"/>
          <w:lang w:eastAsia="pl-PL"/>
        </w:rPr>
        <w:t>września 1994 r. o rachunkowości (Dz. U. z 2021 r. poz. 217, ze zm.) oraz rozporządzeniu</w:t>
      </w:r>
      <w:r w:rsidRPr="00C5214A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</w:t>
      </w:r>
      <w:r w:rsidRPr="00C5214A">
        <w:rPr>
          <w:rFonts w:asciiTheme="minorHAnsi" w:hAnsiTheme="minorHAnsi" w:cstheme="minorHAnsi"/>
          <w:i/>
          <w:spacing w:val="-4"/>
          <w:sz w:val="24"/>
          <w:szCs w:val="24"/>
          <w:lang w:eastAsia="pl-PL"/>
        </w:rPr>
        <w:t>poza granicami Rzeczypospolitej Polskiej (Dz. U. z 2020 r. poz. 342), a w szczególności</w:t>
      </w:r>
      <w:r w:rsidRPr="00C5214A">
        <w:rPr>
          <w:rFonts w:asciiTheme="minorHAnsi" w:hAnsiTheme="minorHAnsi" w:cstheme="minorHAnsi"/>
          <w:i/>
          <w:sz w:val="24"/>
          <w:szCs w:val="24"/>
          <w:lang w:eastAsia="pl-PL"/>
        </w:rPr>
        <w:t>:</w:t>
      </w:r>
    </w:p>
    <w:p w:rsidR="00CD5F7F" w:rsidRPr="00C5214A" w:rsidRDefault="00CD5F7F" w:rsidP="00CD5F7F">
      <w:pPr>
        <w:numPr>
          <w:ilvl w:val="1"/>
          <w:numId w:val="9"/>
        </w:numPr>
        <w:spacing w:after="53" w:line="360" w:lineRule="auto"/>
        <w:ind w:left="709" w:right="11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Do ksiąg rachunkowych okresu sprawozdawczego wprowadzić, w postaci zapisu, każde zdarzenie, które nastąpiło w tym okresie sprawozdawczym stosownie do przepisów art. 20 ust. 1 ustawy o rachunkowości, mając na uwadze, iż zgodnie z § 26 ust. 2 rozporządzenia, okresem sprawozdawczym jest miesiąc.</w:t>
      </w:r>
    </w:p>
    <w:p w:rsidR="00CD5F7F" w:rsidRPr="00C5214A" w:rsidRDefault="00CD5F7F" w:rsidP="00CD5F7F">
      <w:pPr>
        <w:numPr>
          <w:ilvl w:val="1"/>
          <w:numId w:val="9"/>
        </w:numPr>
        <w:spacing w:after="29" w:line="360" w:lineRule="auto"/>
        <w:ind w:left="709" w:right="11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Środki trwałe wyceniać według cen nabycia lub kosztów wytworzenia, lub wartości przeszacowanej (po aktualizacji wyceny środków trwałych), pomniejszonej o odpisy amortyzacyjne lub umorzeniowe, a także o odpisy z tytułu trwałej utraty wartości.</w:t>
      </w:r>
    </w:p>
    <w:p w:rsidR="00CD5F7F" w:rsidRPr="00C5214A" w:rsidRDefault="00CD5F7F" w:rsidP="00CD5F7F">
      <w:pPr>
        <w:numPr>
          <w:ilvl w:val="1"/>
          <w:numId w:val="9"/>
        </w:numPr>
        <w:spacing w:after="29" w:line="360" w:lineRule="auto"/>
        <w:ind w:left="709" w:right="11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Ewidencję analityczną tworzyć zgodnie z zasadami określonymi w aktualnie </w:t>
      </w:r>
      <w:r w:rsidRPr="00FB48BE">
        <w:rPr>
          <w:rFonts w:asciiTheme="minorHAnsi" w:hAnsiTheme="minorHAnsi" w:cstheme="minorHAnsi"/>
          <w:i/>
          <w:spacing w:val="-6"/>
          <w:kern w:val="0"/>
          <w:lang w:eastAsia="pl-PL"/>
        </w:rPr>
        <w:t>obowiązujących uregulowaniach wewnętrznych w zakresie polityki (zasad) rachunkowości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</w:p>
    <w:p w:rsidR="00CD5F7F" w:rsidRPr="00C5214A" w:rsidRDefault="00CD5F7F" w:rsidP="00CD5F7F">
      <w:pPr>
        <w:numPr>
          <w:ilvl w:val="1"/>
          <w:numId w:val="9"/>
        </w:numPr>
        <w:spacing w:after="5" w:line="360" w:lineRule="auto"/>
        <w:ind w:left="709" w:right="11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Zapewnić aby ewidencja szczegółowa prowadzona do konta 011 „Środki trwałe” zapewniała m.in. ustalenie wartości początkowej poszczególnych obiektów środków trwałych.</w:t>
      </w:r>
    </w:p>
    <w:p w:rsidR="00CD5F7F" w:rsidRPr="00C5214A" w:rsidRDefault="00CD5F7F" w:rsidP="00CD5F7F">
      <w:pPr>
        <w:numPr>
          <w:ilvl w:val="1"/>
          <w:numId w:val="9"/>
        </w:numPr>
        <w:spacing w:after="5" w:line="360" w:lineRule="auto"/>
        <w:ind w:left="709" w:right="11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noProof/>
          <w:kern w:val="0"/>
          <w:lang w:eastAsia="pl-PL"/>
        </w:rPr>
        <w:drawing>
          <wp:anchor distT="0" distB="0" distL="114300" distR="114300" simplePos="0" relativeHeight="251659264" behindDoc="0" locked="0" layoutInCell="1" allowOverlap="0" wp14:anchorId="4076240B" wp14:editId="0F519F3A">
            <wp:simplePos x="0" y="0"/>
            <wp:positionH relativeFrom="page">
              <wp:posOffset>3846830</wp:posOffset>
            </wp:positionH>
            <wp:positionV relativeFrom="page">
              <wp:posOffset>9732010</wp:posOffset>
            </wp:positionV>
            <wp:extent cx="3175" cy="3175"/>
            <wp:effectExtent l="0" t="0" r="0" b="0"/>
            <wp:wrapTopAndBottom/>
            <wp:docPr id="5" name="Picture 9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14A">
        <w:rPr>
          <w:rFonts w:asciiTheme="minorHAnsi" w:hAnsiTheme="minorHAnsi" w:cstheme="minorHAnsi"/>
          <w:i/>
          <w:kern w:val="0"/>
          <w:lang w:eastAsia="pl-PL"/>
        </w:rPr>
        <w:t>W zakresie inwentaryzacji składników majątkowych zapewnić przestrzeganie przepisów art. 26 i 27 ustawy o rachunkowości. Inwentaryzację poszczególnych aktywów i pasywów przeprowadzać rzetelnie z zastosowaniem właściwych metod oraz w terminach określonych w art. 26 ustawy o rachunkowości. Starannie i rzetelnie dokumentować przeprowadzenie i wyniki inwentaryzacji i powiązać je z zapisami ksiąg rachunkowych. Ujawnione w toku inwentaryzacji różnice między stanem rzeczywistym a stanem wykazanym w księgach rachunkowych wyjaśnić i rozliczyć w księgach rachunkowych tego roku obrotowego, na który przypadał termin inwentaryzacji.</w:t>
      </w:r>
      <w:r w:rsidRPr="00C5214A">
        <w:rPr>
          <w:rFonts w:asciiTheme="minorHAnsi" w:hAnsiTheme="minorHAnsi" w:cstheme="minorHAnsi"/>
          <w:i/>
          <w:noProof/>
          <w:kern w:val="0"/>
          <w:lang w:eastAsia="pl-PL"/>
        </w:rPr>
        <w:drawing>
          <wp:inline distT="0" distB="0" distL="0" distR="0" wp14:anchorId="495636C2" wp14:editId="0B7F7D48">
            <wp:extent cx="9525" cy="9525"/>
            <wp:effectExtent l="0" t="0" r="0" b="0"/>
            <wp:docPr id="3" name="Picture 9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7F" w:rsidRPr="00C5214A" w:rsidRDefault="00CD5F7F" w:rsidP="00CD5F7F">
      <w:pPr>
        <w:numPr>
          <w:ilvl w:val="1"/>
          <w:numId w:val="9"/>
        </w:numPr>
        <w:spacing w:after="335" w:line="360" w:lineRule="auto"/>
        <w:ind w:left="709" w:right="11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Rozważyć doprecyzowanie zapisów obowiązujących zasad (polityki) rachunkowości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w zakresie wskazanym w niniejszym wystąpieniu pokontrolnym. Stosować przyjęte zasady (politykę) rachunkowości, rzetelnie i jasno przedstawiając sytuację majątkową i finansową oraz wynik finansowy. Zdarzenia, w tym operacje gospodarcze, ujmować w księgach rachunkowych i wykazywać w sprawozdaniu finansowym zgodnie z ich treścią ekonomiczną.</w:t>
      </w:r>
    </w:p>
    <w:p w:rsidR="00CD5F7F" w:rsidRPr="00C5214A" w:rsidRDefault="00CD5F7F" w:rsidP="00CD5F7F">
      <w:pPr>
        <w:pStyle w:val="Akapitzlist0"/>
        <w:numPr>
          <w:ilvl w:val="0"/>
          <w:numId w:val="19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C5214A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Dodatkowe wynagrodzenie roczne ustalać zgodnie z przepisami ustawy z dnia 12 grudnia 1997 r. o dodatkowym wynagrodzeniu rocznym dla pracowników jednostek sfery budżetowej (Dz. U. z 2018 r. poz. 1872), mając na uwadze wyłączenia, o których </w:t>
      </w:r>
      <w:r w:rsidRPr="00C5214A">
        <w:rPr>
          <w:rFonts w:asciiTheme="minorHAnsi" w:hAnsiTheme="minorHAnsi" w:cstheme="minorHAnsi"/>
          <w:i/>
          <w:spacing w:val="-2"/>
          <w:sz w:val="24"/>
          <w:szCs w:val="24"/>
          <w:lang w:eastAsia="pl-PL"/>
        </w:rPr>
        <w:t xml:space="preserve">mowa </w:t>
      </w:r>
      <w:r>
        <w:rPr>
          <w:rFonts w:asciiTheme="minorHAnsi" w:hAnsiTheme="minorHAnsi" w:cstheme="minorHAnsi"/>
          <w:i/>
          <w:spacing w:val="-2"/>
          <w:sz w:val="24"/>
          <w:szCs w:val="24"/>
          <w:lang w:eastAsia="pl-PL"/>
        </w:rPr>
        <w:br/>
      </w:r>
      <w:r w:rsidRPr="00C5214A">
        <w:rPr>
          <w:rFonts w:asciiTheme="minorHAnsi" w:hAnsiTheme="minorHAnsi" w:cstheme="minorHAnsi"/>
          <w:i/>
          <w:spacing w:val="-2"/>
          <w:sz w:val="24"/>
          <w:szCs w:val="24"/>
          <w:lang w:eastAsia="pl-PL"/>
        </w:rPr>
        <w:t>w § 6 rozporządzenia Ministra Pracy i Polityki Socjalnej z dnia 8 stycznia 1997 r.</w:t>
      </w:r>
      <w:r w:rsidRPr="00C5214A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w sprawie </w:t>
      </w:r>
      <w:r w:rsidRPr="00F40204">
        <w:rPr>
          <w:rFonts w:asciiTheme="minorHAnsi" w:hAnsiTheme="minorHAnsi" w:cstheme="minorHAnsi"/>
          <w:i/>
          <w:spacing w:val="-6"/>
          <w:sz w:val="24"/>
          <w:szCs w:val="24"/>
          <w:lang w:eastAsia="pl-PL"/>
        </w:rPr>
        <w:t>szczegółowych zasad udzielania urlopu wypoczynkowego, ustalania i wypłacania wynagrodzenia za czas urlopu oraz ekwiwalentu pieniężnego za urlop (Dz. U. z 1997 r. Nr 2, poz. 14, ze zm.).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3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Dodatek specjalny przyznawać zgodnie z przepisami art. 36 ust. 5 ustawy z dnia 21 listopada 2008 r. o pracownikach samorządowych (Dz. U. z 2022 r. poz. 530) tj.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w uzasadnionych prawnie i merytorycznie przypadkach na czas okresowego zwiększenia obowiązków służbowych lub powierzenia dodatkowych zadań. Przesłanki przyznania dodatku uzasadniać w sposób niebudzący wątpliwości. W pismach przyznających dodatek </w:t>
      </w:r>
      <w:r w:rsidRPr="00A826BC">
        <w:rPr>
          <w:rFonts w:asciiTheme="minorHAnsi" w:hAnsiTheme="minorHAnsi" w:cstheme="minorHAnsi"/>
          <w:i/>
          <w:kern w:val="0"/>
          <w:lang w:eastAsia="pl-PL"/>
        </w:rPr>
        <w:t>specjalny wskazywać uzasadnienie jego przyznania zgodnie z ustawą o pracownikach samorządowych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4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Wynagrodzenia z tytułu zastępstwa procesowego wypłacać radcom prawnych zgodnie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z podpisanymi w tym zakresie umowami, tj. w terminie 14 dni od ściągnięcia należności.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5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 Dokonać wypłaty zaległego wynagrodzenia z tytułu zastępstwa procesowego w sprawie sygn. akt 1 GSK 3271/18, które wpłynęło w dniu 28.02.2019 roku (WB 17/2019) w kwocie 240 zł wraz z należnymi odsetkami. Rozważyć wprowadzenie procedur  zapewniających rzetelne oraz terminowe regulowanie zobowiązań z tytułu kosztów zastępstwa procesowego.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6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 Przy obliczaniu ekwiwalentu za niewykorzystany z naturze urlop wypoczynkowy, współczynnik służący do ustalenia ekwiwalentu za 1 dzień urlopu ustalać odrębnie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w każdym roku kalendarzowym i stosować przy obliczaniu ekwiwalentu, do którego pracownik nabył prawo w ciągu tego roku kalendarzowego zgodnie z przepisami § 19 rozporządzenia Ministra Pracy i Polityki Socjalnej z dnia 8 stycznia 1997 r. w sprawie szczegółowych zasad udzielania urlopu wypoczynkowego, ustalania i wypłacania wynagrodzenia za czas urlopu oraz ekwiwalentu pieniężnego za urlop (Dz. U. z 1997 r. Nr 2 poz. 14, ze zm.).</w:t>
      </w:r>
    </w:p>
    <w:p w:rsidR="00CD5F7F" w:rsidRPr="00C5214A" w:rsidRDefault="00CD5F7F" w:rsidP="00FB48BE">
      <w:pPr>
        <w:tabs>
          <w:tab w:val="left" w:pos="426"/>
        </w:tabs>
        <w:spacing w:before="120"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7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="004174BC">
        <w:rPr>
          <w:rFonts w:asciiTheme="minorHAnsi" w:hAnsiTheme="minorHAnsi" w:cstheme="minorHAnsi"/>
          <w:i/>
          <w:kern w:val="0"/>
          <w:lang w:eastAsia="pl-PL"/>
        </w:rPr>
        <w:t xml:space="preserve">    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Dokonując wydatków z budżetu Urzędu Marszałkowskiego Województwa Wielkopolskiego na rzecz organizacji pozarządowych przestrzegać zasad określonych 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w przepisach ustawy z dnia 27 sierpnia 2009 r. o finansach publicznych (Dz. U. z 2021 r.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 poz. 305 ze zm.).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8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Wysokość diet radnych ustalać i wypłacać zgodnie z obowiązującą uchwałą Sejmiku Województwa Wielkopolskiego. Sprawować nadzór i kontrolę nad prawidłowym wyliczaniem i wypłacaniem diet radnym. Rozważyć możliwość dokonania zwrotu do  budżetu za okres nie podlegający przedawnieniu nienależnie pobranych diet przez radnych oraz dokonać wyrównania diet zaniżonych.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b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9</w:t>
      </w:r>
      <w:r w:rsidRPr="00C5214A">
        <w:rPr>
          <w:rFonts w:asciiTheme="minorHAnsi" w:hAnsiTheme="minorHAnsi" w:cstheme="minorHAnsi"/>
          <w:b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b/>
          <w:i/>
          <w:kern w:val="0"/>
          <w:lang w:eastAsia="pl-PL"/>
        </w:rPr>
        <w:tab/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Ustalić stawkę za jeden kilometr przebiegu samochodu osobowego dla celów rozliczenia kosztów podróży służbowej pracownika odbytej samochodem osobowym </w:t>
      </w:r>
      <w:r w:rsidRPr="00C5214A">
        <w:rPr>
          <w:rFonts w:asciiTheme="minorHAnsi" w:hAnsiTheme="minorHAnsi" w:cstheme="minorHAnsi"/>
          <w:i/>
          <w:spacing w:val="-2"/>
          <w:kern w:val="0"/>
          <w:lang w:eastAsia="pl-PL"/>
        </w:rPr>
        <w:t>niebędącym własnością pracodawcy, zgodnie z przepisami § 3 ust. 3 i 4 rozporządzenia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 Ministra Pracy 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i Polityki Społecznej z dnia 29 stycznia 2013 r. w sprawie należności przysługujących pracownikowi zatrudnionemu w państwowej lub samorządowej jednostce sfery budżetowej z tytułu podróży służbowej (Dz. U. z 2013 r. poz. 167) w związku z § 2 rozporządzenia Ministra Infrastruktury z dnia 25 marca 2002 r. w sprawie warunków ustalania oraz sposobu dokonywania zwrotu kosztów używania 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do celów służbowych samochodów osobowych, motocykli i motorowerów niebędących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 własnością pracodawcy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( Dz. U. z 2020 r. Nr 27 poz. 271, ze zm.).</w:t>
      </w:r>
    </w:p>
    <w:p w:rsidR="00CD5F7F" w:rsidRPr="00C5214A" w:rsidRDefault="00CD5F7F" w:rsidP="00654B1E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spacing w:val="-4"/>
          <w:kern w:val="0"/>
          <w:lang w:eastAsia="pl-PL"/>
        </w:rPr>
        <w:t>10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ab/>
      </w:r>
      <w:r w:rsidR="00654B1E">
        <w:rPr>
          <w:rFonts w:asciiTheme="minorHAnsi" w:hAnsiTheme="minorHAnsi" w:cstheme="minorHAnsi"/>
          <w:i/>
          <w:spacing w:val="-4"/>
          <w:kern w:val="0"/>
          <w:lang w:eastAsia="pl-PL"/>
        </w:rPr>
        <w:t xml:space="preserve"> 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Zwiększyć nadzór i kontrolę przy rozliczaniu kosztów podróży służbowych pracowników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,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a w szczególności:</w:t>
      </w:r>
    </w:p>
    <w:p w:rsidR="00CD5F7F" w:rsidRPr="00C5214A" w:rsidRDefault="00CD5F7F" w:rsidP="00654B1E">
      <w:p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1)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Zobowiązać pracowników do przestrzegania terminu rozliczania kosztów podróży krajowej lub podróży zagranicznej określonego w § 5 pkt 1 rozporządzenia Ministra Pracy i Polityki Społecznej z dnia 29 stycznia 2013 r. w sprawie należności przysługujących pracownikowi zatrudnionemu w państwowej lub samorządowej jednostce sfery budżetowej z tytułu podróży służbowej (Dz. U. z 2013 r. poz. 167) oraz Zarządzeniu Nr 32/2017 Marszałka Województwa Wielkopolskiego z dnia 3 lipca 2017 r. w sprawie wprowadzenia instrukcji obiegu i kontroli dokumentów finansowo księgowych w Urzędzie Marszałkowskim Województwa Wielkopolskiego, tj. nie później niż w terminie 14 dni od dnia zakończenia tej podróży.</w:t>
      </w:r>
    </w:p>
    <w:p w:rsidR="00CD5F7F" w:rsidRPr="00C5214A" w:rsidRDefault="00CD5F7F" w:rsidP="00654B1E">
      <w:pPr>
        <w:tabs>
          <w:tab w:val="left" w:pos="709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2)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Zaliczki wypłacone pracownikowi w walucie obcej rozliczać według średniego kursu złotego w stosunku do walut obcych, określonego przez Narodowy Bank Polski z dnia wypłaty zaliczki, stosownie do § 20 rozporządzenia Ministra Pracy i Polityki Społecznej z dnia 29 stycznia 2013 r. w sprawie należności przysługujących pracownikowi zatrudnionemu w państwowej lub samorządowej jednostce sfery budżetowej z tytułu podróży służbowej (Dz. U. z 2013 r. poz. 167). Zapewnić zgodność </w:t>
      </w:r>
      <w:r w:rsidRPr="00C5214A">
        <w:rPr>
          <w:rFonts w:asciiTheme="minorHAnsi" w:hAnsiTheme="minorHAnsi" w:cstheme="minorHAnsi"/>
          <w:i/>
          <w:spacing w:val="-6"/>
          <w:kern w:val="0"/>
          <w:lang w:eastAsia="pl-PL"/>
        </w:rPr>
        <w:t>zapisów w obowiązujących uregulowaniach wewnętrznych z przepisami rozporządzenia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11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 Przy zawieraniu umów na obsługę prawną przestrzegać przepisów ustawy z dnia 11 września 2019 r. Prawo zamówień publicznych (Dz. U. z 2021 r. poz. 1129, ze zm.). Przepisów ustawy nie stosuje się tylko do zamówień, o których mowa w art. 11 ustawy. Zgodnie z art. 11 pkt 2 lit a ) do e) przepisów ustawy nie stosuje się do zamówień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i konkursów, których przedmiotem są usługi prawne: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a)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zastępstwa procesowego wykonywanego przez adwokata, radcę prawnego lub prawnika zagranicznego w rozumieniu ustawy z dnia 5 lipca 2002 r. o świadczeniu przez prawników zagranicznych pomocy prawnej w Rzeczypospolitej Polskiej (Dz. U. z 2020 r. poz. 823), w postępowaniu arbitrażowym lub pojednawczym, lub przed sądami, trybunałami lub innymi organami publicznymi państwa członkowskiego Unii Europejskiej, 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państw trzecich lub przed międzynarodowymi sądami, trybunałami, instancjami arbitrażowymi lub pojednawczymi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,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b)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doradztwa prawnego wykonywanego przez adwokata, radcę prawnego lub prawnika zagranicznego w rozumieniu ustawy z dnia 5 lipca 2002 r. o świadczeniu przez prawników zagranicznych pomocy prawnej w Rzeczypospolitej Polskiej, w zakresie przygotowania postępowań, o których mowa w lit. a, lub gdy zachodzi wysokie prawdopodobieństwo, że sprawa, której dotyczy to doradztwo, stanie się przedmiotem tych postępowań,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c)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notarialnego poświadczania i uwierzytelniania dokumentów,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d)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do świadczenia których wykonawcy są wyznaczani przez sąd lub trybunał danego państwa członkowskiego Unii Europejskiej, lub wyznaczani z mocy prawa w celu wykonania konkretnych zadań pod nadzorem takich trybunałów lub sądów, 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e)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związane z wykonywaniem władzy publicznej.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12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Przy udzielaniu zamówień publicznych przestrzegać przepisów ustawy z dnia 11 września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 2019 r. Prawo zamówień publicznych (Dz. U. z 2021 r. poz. 1129, ze zm.), a mianowicie ogłoszenie o wyniku postępowania zawierające informację o udzieleniu zamówienia lub 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unieważnieniu postępowania zamieszczać w Biuletynie Zamówień Publicznych nie później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 niż w terminie 30 dni od dnia zakończenia postępowania o udzielenie zamówienia, stosownie do przepisu art. 309 ust. 1 ustawy.</w:t>
      </w:r>
    </w:p>
    <w:p w:rsidR="004174BC" w:rsidRPr="00C5214A" w:rsidRDefault="004174BC" w:rsidP="004174BC">
      <w:p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13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Zwiększyć nadzór i kontrolę przy udzielaniu i rozliczaniu dotacji udzielanych podmiotom niezaliczanym do sektora finansów publicznych na podstawie ustawy z dnia 24 kwietnia 2003 r. o działalności pożytku publicznego i wolontariacie (Dz. U. z 2022 r., poz. 1327), </w:t>
      </w:r>
      <w:r>
        <w:rPr>
          <w:rFonts w:asciiTheme="minorHAnsi" w:hAnsiTheme="minorHAnsi" w:cstheme="minorHAnsi"/>
          <w:i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kern w:val="0"/>
          <w:lang w:eastAsia="pl-PL"/>
        </w:rPr>
        <w:t>w szczególności dokonywać rzetelnej weryfikacji złożonych ofert oraz kontroli i oceny realizacji zadań zleconych.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14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W umowach zawieranych na dotacje celowe, o których mowa w art. 250 ustawy z dnia 27 sierpnia 2009 r. o finansach publicznych (Dz. U. z 2021 r. poz. 305, ze zm.) określać termin wykorzystania środków z dotacji w sposób jednoznaczny, co pozwoli na prawidłową interpretację zapisów umowy i umożliwi zweryfikowanie poprawności wykorzystania udzielonej dotacji.</w:t>
      </w:r>
    </w:p>
    <w:p w:rsidR="00CD5F7F" w:rsidRPr="00C5214A" w:rsidRDefault="00CD5F7F" w:rsidP="00CD5F7F">
      <w:pPr>
        <w:tabs>
          <w:tab w:val="left" w:pos="426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15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 xml:space="preserve">Przy gospodarowaniu mieniem zapewnić przestrzeganie przepisów rozporządzenia </w:t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Rady Ministrów z dnia 14 września 2004 r. w sprawie sposobu i trybu przeprowadzania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 xml:space="preserve"> przetargów oraz rokowań na zbycie nieruchomości (Dz. U. z 2021 r. roku, poz. 2213), w szczególności:</w:t>
      </w:r>
    </w:p>
    <w:p w:rsidR="00CD5F7F" w:rsidRPr="00C5214A" w:rsidRDefault="00CD5F7F" w:rsidP="00CD5F7F">
      <w:p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1)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W informacjach o wynikach przetargów podawać wszystkie dane zgodnie z § 12 ust. 1 rozporządzenia.</w:t>
      </w:r>
    </w:p>
    <w:p w:rsidR="00CD5F7F" w:rsidRPr="00C5214A" w:rsidRDefault="00CD5F7F" w:rsidP="00CD5F7F">
      <w:pPr>
        <w:tabs>
          <w:tab w:val="left" w:pos="851"/>
        </w:tabs>
        <w:spacing w:after="0" w:line="360" w:lineRule="auto"/>
        <w:ind w:left="851" w:hanging="425"/>
        <w:jc w:val="both"/>
        <w:rPr>
          <w:rFonts w:asciiTheme="minorHAnsi" w:hAnsiTheme="minorHAnsi" w:cstheme="minorHAnsi"/>
          <w:i/>
          <w:kern w:val="0"/>
          <w:lang w:eastAsia="pl-PL"/>
        </w:rPr>
      </w:pPr>
      <w:r w:rsidRPr="00C5214A">
        <w:rPr>
          <w:rFonts w:asciiTheme="minorHAnsi" w:hAnsiTheme="minorHAnsi" w:cstheme="minorHAnsi"/>
          <w:i/>
          <w:kern w:val="0"/>
          <w:lang w:eastAsia="pl-PL"/>
        </w:rPr>
        <w:t>2)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  <w:t>W protokołach z przeprowadzonych przetargów zawierać wszystkie informacje zgodnie z § 10 ust. 1 rozporządzenia.</w:t>
      </w:r>
    </w:p>
    <w:p w:rsidR="00CD5F7F" w:rsidRPr="00C5214A" w:rsidRDefault="00CD5F7F" w:rsidP="00CD5F7F">
      <w:pPr>
        <w:tabs>
          <w:tab w:val="left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spacing w:val="-4"/>
          <w:kern w:val="0"/>
          <w:lang w:eastAsia="pl-PL"/>
        </w:rPr>
      </w:pPr>
      <w:r w:rsidRPr="00C5214A">
        <w:rPr>
          <w:rFonts w:asciiTheme="minorHAnsi" w:hAnsiTheme="minorHAnsi" w:cstheme="minorHAnsi"/>
          <w:kern w:val="0"/>
          <w:lang w:eastAsia="pl-PL"/>
        </w:rPr>
        <w:t>16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>.</w:t>
      </w:r>
      <w:r w:rsidRPr="00C5214A">
        <w:rPr>
          <w:rFonts w:asciiTheme="minorHAnsi" w:hAnsiTheme="minorHAnsi" w:cstheme="minorHAnsi"/>
          <w:i/>
          <w:kern w:val="0"/>
          <w:lang w:eastAsia="pl-PL"/>
        </w:rPr>
        <w:tab/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 xml:space="preserve">Głównej księgowej powierzyć obowiązki i odpowiedzialności zgodnie z art. 54 ust. 1 ustawy </w:t>
      </w:r>
      <w:r>
        <w:rPr>
          <w:rFonts w:asciiTheme="minorHAnsi" w:hAnsiTheme="minorHAnsi" w:cstheme="minorHAnsi"/>
          <w:i/>
          <w:spacing w:val="-4"/>
          <w:kern w:val="0"/>
          <w:lang w:eastAsia="pl-PL"/>
        </w:rPr>
        <w:br/>
      </w:r>
      <w:r w:rsidRPr="00C5214A">
        <w:rPr>
          <w:rFonts w:asciiTheme="minorHAnsi" w:hAnsiTheme="minorHAnsi" w:cstheme="minorHAnsi"/>
          <w:i/>
          <w:spacing w:val="-4"/>
          <w:kern w:val="0"/>
          <w:lang w:eastAsia="pl-PL"/>
        </w:rPr>
        <w:t>z dnia 27 sierpnia 2009r. o finansach publicznych (Dz. U. z 2021 r. poz. 305, ze zm.).</w:t>
      </w:r>
    </w:p>
    <w:p w:rsidR="00CD5F7F" w:rsidRPr="00C5214A" w:rsidRDefault="00CD5F7F" w:rsidP="00CD5F7F">
      <w:pPr>
        <w:tabs>
          <w:tab w:val="left" w:pos="284"/>
        </w:tabs>
        <w:spacing w:after="0" w:line="360" w:lineRule="auto"/>
        <w:ind w:left="283" w:hanging="357"/>
        <w:jc w:val="both"/>
        <w:rPr>
          <w:rFonts w:asciiTheme="minorHAnsi" w:hAnsiTheme="minorHAnsi" w:cstheme="minorHAnsi"/>
        </w:rPr>
      </w:pPr>
    </w:p>
    <w:p w:rsidR="00CD5F7F" w:rsidRPr="00C5214A" w:rsidRDefault="00CD5F7F" w:rsidP="00CD5F7F">
      <w:pPr>
        <w:pStyle w:val="Akapitzlist0"/>
        <w:tabs>
          <w:tab w:val="left" w:pos="284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D5F7F" w:rsidRPr="00C5214A" w:rsidRDefault="00CD5F7F" w:rsidP="00CD5F7F">
      <w:pPr>
        <w:spacing w:after="0" w:line="360" w:lineRule="auto"/>
        <w:ind w:left="360"/>
        <w:jc w:val="both"/>
        <w:rPr>
          <w:rFonts w:asciiTheme="minorHAnsi" w:hAnsiTheme="minorHAnsi" w:cstheme="minorHAnsi"/>
        </w:rPr>
      </w:pPr>
    </w:p>
    <w:p w:rsidR="00A910F7" w:rsidRDefault="00A910F7"/>
    <w:sectPr w:rsidR="00A910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3F" w:rsidRDefault="002A753F" w:rsidP="002A753F">
      <w:pPr>
        <w:spacing w:after="0"/>
      </w:pPr>
      <w:r>
        <w:separator/>
      </w:r>
    </w:p>
  </w:endnote>
  <w:endnote w:type="continuationSeparator" w:id="0">
    <w:p w:rsidR="002A753F" w:rsidRDefault="002A753F" w:rsidP="002A7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273744"/>
      <w:docPartObj>
        <w:docPartGallery w:val="Page Numbers (Bottom of Page)"/>
        <w:docPartUnique/>
      </w:docPartObj>
    </w:sdtPr>
    <w:sdtEndPr/>
    <w:sdtContent>
      <w:p w:rsidR="002A753F" w:rsidRDefault="002A75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BE">
          <w:rPr>
            <w:noProof/>
          </w:rPr>
          <w:t>8</w:t>
        </w:r>
        <w:r>
          <w:fldChar w:fldCharType="end"/>
        </w:r>
      </w:p>
    </w:sdtContent>
  </w:sdt>
  <w:p w:rsidR="002A753F" w:rsidRDefault="002A75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3F" w:rsidRDefault="002A753F" w:rsidP="002A753F">
      <w:pPr>
        <w:spacing w:after="0"/>
      </w:pPr>
      <w:r>
        <w:separator/>
      </w:r>
    </w:p>
  </w:footnote>
  <w:footnote w:type="continuationSeparator" w:id="0">
    <w:p w:rsidR="002A753F" w:rsidRDefault="002A753F" w:rsidP="002A7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524"/>
    <w:multiLevelType w:val="hybridMultilevel"/>
    <w:tmpl w:val="6DDAA82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7C66F8F8">
      <w:numFmt w:val="bullet"/>
      <w:lvlText w:val="•"/>
      <w:lvlJc w:val="left"/>
      <w:pPr>
        <w:ind w:left="1500" w:hanging="420"/>
      </w:pPr>
      <w:rPr>
        <w:rFonts w:ascii="Garamond" w:eastAsia="Times New Roman" w:hAnsi="Garamond" w:cs="Times New Roman" w:hint="default"/>
        <w:color w:val="FF0000"/>
      </w:rPr>
    </w:lvl>
    <w:lvl w:ilvl="2" w:tplc="37CC17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ECD"/>
    <w:multiLevelType w:val="hybridMultilevel"/>
    <w:tmpl w:val="99F4AC2C"/>
    <w:lvl w:ilvl="0" w:tplc="A950E70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20DB7"/>
    <w:multiLevelType w:val="hybridMultilevel"/>
    <w:tmpl w:val="8FCCFEFC"/>
    <w:lvl w:ilvl="0" w:tplc="8C7E22A8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767B57"/>
    <w:multiLevelType w:val="hybridMultilevel"/>
    <w:tmpl w:val="FC18C3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7D1859"/>
    <w:multiLevelType w:val="hybridMultilevel"/>
    <w:tmpl w:val="79C615CC"/>
    <w:lvl w:ilvl="0" w:tplc="D81C305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52E61"/>
    <w:multiLevelType w:val="hybridMultilevel"/>
    <w:tmpl w:val="D130CED6"/>
    <w:lvl w:ilvl="0" w:tplc="04150017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EDB1416"/>
    <w:multiLevelType w:val="hybridMultilevel"/>
    <w:tmpl w:val="A4500A4A"/>
    <w:lvl w:ilvl="0" w:tplc="04150001">
      <w:start w:val="1"/>
      <w:numFmt w:val="bullet"/>
      <w:pStyle w:val="Listapunktowana2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E155E9"/>
    <w:multiLevelType w:val="hybridMultilevel"/>
    <w:tmpl w:val="AAD89EDA"/>
    <w:lvl w:ilvl="0" w:tplc="04150011">
      <w:start w:val="1"/>
      <w:numFmt w:val="decimal"/>
      <w:lvlText w:val="%1)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12F620B1"/>
    <w:multiLevelType w:val="hybridMultilevel"/>
    <w:tmpl w:val="C3C268D0"/>
    <w:lvl w:ilvl="0" w:tplc="FE0808FC">
      <w:start w:val="6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79B2"/>
    <w:multiLevelType w:val="hybridMultilevel"/>
    <w:tmpl w:val="B8B0C20C"/>
    <w:lvl w:ilvl="0" w:tplc="53E6F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84001"/>
    <w:multiLevelType w:val="hybridMultilevel"/>
    <w:tmpl w:val="3F96B40C"/>
    <w:lvl w:ilvl="0" w:tplc="53E6F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91ADD"/>
    <w:multiLevelType w:val="hybridMultilevel"/>
    <w:tmpl w:val="A2C02202"/>
    <w:lvl w:ilvl="0" w:tplc="D7A8D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16C46"/>
    <w:multiLevelType w:val="hybridMultilevel"/>
    <w:tmpl w:val="81C6E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4547E"/>
    <w:multiLevelType w:val="hybridMultilevel"/>
    <w:tmpl w:val="4FB2BC9C"/>
    <w:lvl w:ilvl="0" w:tplc="8C10E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0BF0534"/>
    <w:multiLevelType w:val="hybridMultilevel"/>
    <w:tmpl w:val="91447CEA"/>
    <w:lvl w:ilvl="0" w:tplc="D7A8D7B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5450CDB"/>
    <w:multiLevelType w:val="hybridMultilevel"/>
    <w:tmpl w:val="2CA885D6"/>
    <w:lvl w:ilvl="0" w:tplc="B6E63C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5B70"/>
    <w:multiLevelType w:val="hybridMultilevel"/>
    <w:tmpl w:val="7BC23960"/>
    <w:lvl w:ilvl="0" w:tplc="614627D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91CFC"/>
    <w:multiLevelType w:val="hybridMultilevel"/>
    <w:tmpl w:val="4F3076C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774DEE"/>
    <w:multiLevelType w:val="hybridMultilevel"/>
    <w:tmpl w:val="7CF407F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2F76458"/>
    <w:multiLevelType w:val="hybridMultilevel"/>
    <w:tmpl w:val="DA48AED0"/>
    <w:lvl w:ilvl="0" w:tplc="04150001">
      <w:start w:val="1"/>
      <w:numFmt w:val="bullet"/>
      <w:pStyle w:val="Listapunktowana4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7A8D7B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3EA5413"/>
    <w:multiLevelType w:val="hybridMultilevel"/>
    <w:tmpl w:val="D856EDE6"/>
    <w:lvl w:ilvl="0" w:tplc="D7A8D7B4">
      <w:start w:val="1"/>
      <w:numFmt w:val="bullet"/>
      <w:pStyle w:val="Listapunktowana3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C3096A"/>
    <w:multiLevelType w:val="hybridMultilevel"/>
    <w:tmpl w:val="5E0ECDC0"/>
    <w:lvl w:ilvl="0" w:tplc="16122B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82484DE">
      <w:start w:val="1"/>
      <w:numFmt w:val="decimal"/>
      <w:lvlText w:val="%4."/>
      <w:lvlJc w:val="left"/>
      <w:pPr>
        <w:ind w:left="252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E45D9"/>
    <w:multiLevelType w:val="hybridMultilevel"/>
    <w:tmpl w:val="52783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014C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B250383C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i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574E6"/>
    <w:multiLevelType w:val="hybridMultilevel"/>
    <w:tmpl w:val="DEB0B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40FA0"/>
    <w:multiLevelType w:val="hybridMultilevel"/>
    <w:tmpl w:val="6426A4E4"/>
    <w:lvl w:ilvl="0" w:tplc="D7A8D7B4">
      <w:start w:val="1"/>
      <w:numFmt w:val="bullet"/>
      <w:lvlText w:val=""/>
      <w:lvlJc w:val="left"/>
      <w:pPr>
        <w:ind w:left="11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5" w15:restartNumberingAfterBreak="0">
    <w:nsid w:val="614D11A5"/>
    <w:multiLevelType w:val="hybridMultilevel"/>
    <w:tmpl w:val="3C0C2436"/>
    <w:lvl w:ilvl="0" w:tplc="A90E0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4E37"/>
    <w:multiLevelType w:val="hybridMultilevel"/>
    <w:tmpl w:val="9DD0A9C2"/>
    <w:lvl w:ilvl="0" w:tplc="A410A27A">
      <w:start w:val="2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4D51B1"/>
    <w:multiLevelType w:val="hybridMultilevel"/>
    <w:tmpl w:val="8580257E"/>
    <w:lvl w:ilvl="0" w:tplc="0ADAB8AA">
      <w:start w:val="9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3A76"/>
    <w:multiLevelType w:val="hybridMultilevel"/>
    <w:tmpl w:val="F1F4B5E4"/>
    <w:lvl w:ilvl="0" w:tplc="9A5EA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 w:themeColor="text1"/>
      </w:rPr>
    </w:lvl>
    <w:lvl w:ilvl="1" w:tplc="6D8E734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9" w15:restartNumberingAfterBreak="0">
    <w:nsid w:val="6CA25D31"/>
    <w:multiLevelType w:val="hybridMultilevel"/>
    <w:tmpl w:val="6060A11C"/>
    <w:lvl w:ilvl="0" w:tplc="816A65C4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105EEE">
      <w:start w:val="1"/>
      <w:numFmt w:val="decimal"/>
      <w:lvlText w:val="%2)"/>
      <w:lvlJc w:val="left"/>
      <w:pPr>
        <w:ind w:left="575"/>
      </w:pPr>
      <w:rPr>
        <w:rFonts w:ascii="Garamond" w:eastAsia="Times New Roman" w:hAnsi="Garamond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3572">
      <w:start w:val="1"/>
      <w:numFmt w:val="lowerRoman"/>
      <w:lvlText w:val="%3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63A5A">
      <w:start w:val="1"/>
      <w:numFmt w:val="decimal"/>
      <w:lvlText w:val="%4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47A88">
      <w:start w:val="1"/>
      <w:numFmt w:val="lowerLetter"/>
      <w:lvlText w:val="%5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C9F5C">
      <w:start w:val="1"/>
      <w:numFmt w:val="lowerRoman"/>
      <w:lvlText w:val="%6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82732">
      <w:start w:val="1"/>
      <w:numFmt w:val="decimal"/>
      <w:lvlText w:val="%7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A6A42">
      <w:start w:val="1"/>
      <w:numFmt w:val="lowerLetter"/>
      <w:lvlText w:val="%8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60420">
      <w:start w:val="1"/>
      <w:numFmt w:val="lowerRoman"/>
      <w:lvlText w:val="%9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1526C"/>
    <w:multiLevelType w:val="hybridMultilevel"/>
    <w:tmpl w:val="8D2EC1EC"/>
    <w:lvl w:ilvl="0" w:tplc="A5DA179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7548"/>
    <w:multiLevelType w:val="hybridMultilevel"/>
    <w:tmpl w:val="6A440A1C"/>
    <w:lvl w:ilvl="0" w:tplc="04150011">
      <w:start w:val="1"/>
      <w:numFmt w:val="decimal"/>
      <w:pStyle w:val="Listapunktowana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0"/>
  </w:num>
  <w:num w:numId="3">
    <w:abstractNumId w:val="2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5"/>
  </w:num>
  <w:num w:numId="9">
    <w:abstractNumId w:val="29"/>
  </w:num>
  <w:num w:numId="10">
    <w:abstractNumId w:val="15"/>
  </w:num>
  <w:num w:numId="11">
    <w:abstractNumId w:val="23"/>
  </w:num>
  <w:num w:numId="12">
    <w:abstractNumId w:val="25"/>
  </w:num>
  <w:num w:numId="13">
    <w:abstractNumId w:val="0"/>
  </w:num>
  <w:num w:numId="14">
    <w:abstractNumId w:val="16"/>
  </w:num>
  <w:num w:numId="15">
    <w:abstractNumId w:val="24"/>
  </w:num>
  <w:num w:numId="16">
    <w:abstractNumId w:val="14"/>
  </w:num>
  <w:num w:numId="17">
    <w:abstractNumId w:val="11"/>
  </w:num>
  <w:num w:numId="18">
    <w:abstractNumId w:val="1"/>
  </w:num>
  <w:num w:numId="19">
    <w:abstractNumId w:val="28"/>
  </w:num>
  <w:num w:numId="20">
    <w:abstractNumId w:val="9"/>
  </w:num>
  <w:num w:numId="21">
    <w:abstractNumId w:val="10"/>
  </w:num>
  <w:num w:numId="22">
    <w:abstractNumId w:val="26"/>
  </w:num>
  <w:num w:numId="23">
    <w:abstractNumId w:val="18"/>
  </w:num>
  <w:num w:numId="24">
    <w:abstractNumId w:val="12"/>
  </w:num>
  <w:num w:numId="25">
    <w:abstractNumId w:val="7"/>
  </w:num>
  <w:num w:numId="26">
    <w:abstractNumId w:val="8"/>
  </w:num>
  <w:num w:numId="27">
    <w:abstractNumId w:val="27"/>
  </w:num>
  <w:num w:numId="28">
    <w:abstractNumId w:val="4"/>
  </w:num>
  <w:num w:numId="29">
    <w:abstractNumId w:val="17"/>
  </w:num>
  <w:num w:numId="30">
    <w:abstractNumId w:val="3"/>
  </w:num>
  <w:num w:numId="31">
    <w:abstractNumId w:val="30"/>
  </w:num>
  <w:num w:numId="3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7F"/>
    <w:rsid w:val="00007230"/>
    <w:rsid w:val="00023C8E"/>
    <w:rsid w:val="0004546C"/>
    <w:rsid w:val="00083299"/>
    <w:rsid w:val="00085F02"/>
    <w:rsid w:val="000C72B7"/>
    <w:rsid w:val="000F2975"/>
    <w:rsid w:val="000F4CCA"/>
    <w:rsid w:val="001452C8"/>
    <w:rsid w:val="001D7034"/>
    <w:rsid w:val="002041CA"/>
    <w:rsid w:val="0021349B"/>
    <w:rsid w:val="0026627E"/>
    <w:rsid w:val="00284F14"/>
    <w:rsid w:val="002A753F"/>
    <w:rsid w:val="002F4A9F"/>
    <w:rsid w:val="003279B7"/>
    <w:rsid w:val="003801E4"/>
    <w:rsid w:val="003B3AB5"/>
    <w:rsid w:val="003E14EE"/>
    <w:rsid w:val="003E4E57"/>
    <w:rsid w:val="004174BC"/>
    <w:rsid w:val="00420F77"/>
    <w:rsid w:val="00441351"/>
    <w:rsid w:val="004A18D2"/>
    <w:rsid w:val="004F2FFB"/>
    <w:rsid w:val="0057467A"/>
    <w:rsid w:val="005763ED"/>
    <w:rsid w:val="00581706"/>
    <w:rsid w:val="00647498"/>
    <w:rsid w:val="00654B1E"/>
    <w:rsid w:val="006C7B2A"/>
    <w:rsid w:val="00716C09"/>
    <w:rsid w:val="00746CAB"/>
    <w:rsid w:val="00797F3A"/>
    <w:rsid w:val="008178AE"/>
    <w:rsid w:val="00862F94"/>
    <w:rsid w:val="0087440A"/>
    <w:rsid w:val="008A33D7"/>
    <w:rsid w:val="0092448E"/>
    <w:rsid w:val="00940680"/>
    <w:rsid w:val="00960EDB"/>
    <w:rsid w:val="009868E0"/>
    <w:rsid w:val="009A6F42"/>
    <w:rsid w:val="009E28D4"/>
    <w:rsid w:val="009E3A96"/>
    <w:rsid w:val="00A50FF9"/>
    <w:rsid w:val="00A778B7"/>
    <w:rsid w:val="00A910F7"/>
    <w:rsid w:val="00B74325"/>
    <w:rsid w:val="00B9186F"/>
    <w:rsid w:val="00BB5997"/>
    <w:rsid w:val="00BB7CF6"/>
    <w:rsid w:val="00BF3D01"/>
    <w:rsid w:val="00C2376B"/>
    <w:rsid w:val="00CD5F7F"/>
    <w:rsid w:val="00D57C20"/>
    <w:rsid w:val="00DA0712"/>
    <w:rsid w:val="00DB71B4"/>
    <w:rsid w:val="00DC4FC9"/>
    <w:rsid w:val="00E40ECE"/>
    <w:rsid w:val="00E6415C"/>
    <w:rsid w:val="00EA0C13"/>
    <w:rsid w:val="00EB1E03"/>
    <w:rsid w:val="00EB6086"/>
    <w:rsid w:val="00EC5E13"/>
    <w:rsid w:val="00F14FF8"/>
    <w:rsid w:val="00F83EEB"/>
    <w:rsid w:val="00FA3A0F"/>
    <w:rsid w:val="00FB48BE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C0DAA-2C07-4F0D-8122-203CEC58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F7F"/>
    <w:pPr>
      <w:spacing w:after="20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5F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D5F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5F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D5F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D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CD5F7F"/>
    <w:rPr>
      <w:rFonts w:ascii="Cambria" w:eastAsia="Times New Roman" w:hAnsi="Cambria" w:cs="Times New Roman"/>
      <w:b/>
      <w:bCs/>
      <w:i/>
      <w:iCs/>
      <w:kern w:val="2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D5F7F"/>
    <w:rPr>
      <w:rFonts w:ascii="Cambria" w:eastAsia="Times New Roman" w:hAnsi="Cambria" w:cs="Times New Roman"/>
      <w:b/>
      <w:bCs/>
      <w:kern w:val="24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D5F7F"/>
    <w:rPr>
      <w:rFonts w:ascii="Calibri" w:eastAsia="Times New Roman" w:hAnsi="Calibri" w:cs="Times New Roman"/>
      <w:b/>
      <w:bCs/>
      <w:kern w:val="24"/>
      <w:sz w:val="28"/>
      <w:szCs w:val="28"/>
    </w:rPr>
  </w:style>
  <w:style w:type="table" w:styleId="Tabela-Siatka">
    <w:name w:val="Table Grid"/>
    <w:basedOn w:val="Standardowy"/>
    <w:uiPriority w:val="99"/>
    <w:rsid w:val="00CD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D5F7F"/>
    <w:pPr>
      <w:suppressAutoHyphens/>
      <w:spacing w:after="120"/>
      <w:ind w:left="283"/>
    </w:pPr>
    <w:rPr>
      <w:kern w:val="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5F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CD5F7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D5F7F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HeaderChar">
    <w:name w:val="Header Char"/>
    <w:basedOn w:val="Domylnaczcionkaakapitu"/>
    <w:uiPriority w:val="99"/>
    <w:locked/>
    <w:rsid w:val="00CD5F7F"/>
    <w:rPr>
      <w:rFonts w:cs="Times New Roman"/>
      <w:kern w:val="24"/>
      <w:sz w:val="24"/>
      <w:szCs w:val="24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CD5F7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D5F7F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FooterChar">
    <w:name w:val="Footer Char"/>
    <w:basedOn w:val="Domylnaczcionkaakapitu"/>
    <w:uiPriority w:val="99"/>
    <w:locked/>
    <w:rsid w:val="00CD5F7F"/>
    <w:rPr>
      <w:rFonts w:cs="Times New Roman"/>
    </w:rPr>
  </w:style>
  <w:style w:type="character" w:styleId="Hipercze">
    <w:name w:val="Hyperlink"/>
    <w:basedOn w:val="Domylnaczcionkaakapitu"/>
    <w:uiPriority w:val="99"/>
    <w:rsid w:val="00CD5F7F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CD5F7F"/>
    <w:rPr>
      <w:rFonts w:cs="Times New Roman"/>
      <w:b/>
      <w:bCs/>
    </w:rPr>
  </w:style>
  <w:style w:type="character" w:customStyle="1" w:styleId="locality">
    <w:name w:val="locality"/>
    <w:basedOn w:val="Domylnaczcionkaakapitu"/>
    <w:uiPriority w:val="99"/>
    <w:rsid w:val="00CD5F7F"/>
    <w:rPr>
      <w:rFonts w:cs="Times New Roman"/>
    </w:rPr>
  </w:style>
  <w:style w:type="character" w:customStyle="1" w:styleId="eltit1">
    <w:name w:val="eltit1"/>
    <w:basedOn w:val="Domylnaczcionkaakapitu"/>
    <w:uiPriority w:val="99"/>
    <w:rsid w:val="00CD5F7F"/>
    <w:rPr>
      <w:rFonts w:ascii="Verdana" w:hAnsi="Verdana" w:cs="Times New Roman"/>
      <w:color w:val="333366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CD5F7F"/>
    <w:pPr>
      <w:suppressAutoHyphens/>
      <w:spacing w:after="120" w:line="480" w:lineRule="auto"/>
    </w:pPr>
    <w:rPr>
      <w:kern w:val="0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CD5F7F"/>
    <w:pPr>
      <w:suppressAutoHyphens/>
      <w:spacing w:after="120"/>
      <w:ind w:left="283"/>
    </w:pPr>
    <w:rPr>
      <w:kern w:val="0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D5F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5F7F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D5F7F"/>
    <w:pPr>
      <w:spacing w:after="0"/>
      <w:jc w:val="center"/>
    </w:pPr>
    <w:rPr>
      <w:b/>
      <w:bCs/>
      <w:kern w:val="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D5F7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CD5F7F"/>
    <w:rPr>
      <w:rFonts w:eastAsia="Times New Roman" w:cs="Times New Roman"/>
      <w:b/>
      <w:bCs/>
      <w:sz w:val="24"/>
    </w:rPr>
  </w:style>
  <w:style w:type="character" w:customStyle="1" w:styleId="ZnakZnak2">
    <w:name w:val="Znak Znak2"/>
    <w:basedOn w:val="Domylnaczcionkaakapitu"/>
    <w:uiPriority w:val="99"/>
    <w:rsid w:val="00CD5F7F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CD5F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5F7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F7F"/>
    <w:rPr>
      <w:rFonts w:ascii="Tahoma" w:eastAsia="Times New Roman" w:hAnsi="Tahoma" w:cs="Tahoma"/>
      <w:kern w:val="24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CD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CD5F7F"/>
    <w:pPr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CD5F7F"/>
    <w:pPr>
      <w:tabs>
        <w:tab w:val="right" w:leader="dot" w:pos="9062"/>
      </w:tabs>
      <w:spacing w:before="360" w:after="100"/>
      <w:ind w:left="426" w:hanging="426"/>
      <w:jc w:val="both"/>
    </w:pPr>
    <w:rPr>
      <w:rFonts w:ascii="Garamond" w:hAnsi="Garamond"/>
      <w:b/>
      <w:noProof/>
      <w:kern w:val="0"/>
    </w:rPr>
  </w:style>
  <w:style w:type="paragraph" w:styleId="Spistreci3">
    <w:name w:val="toc 3"/>
    <w:basedOn w:val="Normalny"/>
    <w:next w:val="Normalny"/>
    <w:autoRedefine/>
    <w:uiPriority w:val="99"/>
    <w:semiHidden/>
    <w:rsid w:val="00CD5F7F"/>
    <w:pPr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ZnakZnak1">
    <w:name w:val="Znak Znak1"/>
    <w:basedOn w:val="Domylnaczcionkaakapitu"/>
    <w:uiPriority w:val="99"/>
    <w:locked/>
    <w:rsid w:val="00CD5F7F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D5F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F7F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F7F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CD5F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D5F7F"/>
    <w:rPr>
      <w:rFonts w:ascii="Times New Roman" w:eastAsia="Times New Roman" w:hAnsi="Times New Roman" w:cs="Times New Roman"/>
      <w:kern w:val="24"/>
      <w:sz w:val="20"/>
      <w:szCs w:val="20"/>
    </w:rPr>
  </w:style>
  <w:style w:type="character" w:customStyle="1" w:styleId="ZnakZnak6">
    <w:name w:val="Znak Znak6"/>
    <w:basedOn w:val="Domylnaczcionkaakapitu"/>
    <w:uiPriority w:val="99"/>
    <w:locked/>
    <w:rsid w:val="00CD5F7F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paragraph" w:styleId="NormalnyWeb">
    <w:name w:val="Normal (Web)"/>
    <w:basedOn w:val="Normalny"/>
    <w:rsid w:val="00CD5F7F"/>
    <w:pPr>
      <w:spacing w:before="100" w:beforeAutospacing="1" w:after="100" w:afterAutospacing="1" w:line="360" w:lineRule="auto"/>
      <w:jc w:val="both"/>
    </w:pPr>
    <w:rPr>
      <w:color w:val="000000"/>
      <w:kern w:val="0"/>
      <w:lang w:eastAsia="pl-PL"/>
    </w:rPr>
  </w:style>
  <w:style w:type="paragraph" w:customStyle="1" w:styleId="Akapitzlist">
    <w:name w:val="Akapit z list?"/>
    <w:basedOn w:val="Normalny"/>
    <w:uiPriority w:val="99"/>
    <w:rsid w:val="00CD5F7F"/>
    <w:pPr>
      <w:widowControl w:val="0"/>
      <w:suppressAutoHyphens/>
      <w:overflowPunct w:val="0"/>
      <w:autoSpaceDE w:val="0"/>
      <w:spacing w:after="0"/>
      <w:ind w:left="720"/>
    </w:pPr>
    <w:rPr>
      <w:kern w:val="0"/>
      <w:szCs w:val="20"/>
      <w:lang w:eastAsia="ar-SA"/>
    </w:rPr>
  </w:style>
  <w:style w:type="character" w:customStyle="1" w:styleId="ZnakZnak5">
    <w:name w:val="Znak Znak5"/>
    <w:basedOn w:val="Domylnaczcionkaakapitu"/>
    <w:uiPriority w:val="99"/>
    <w:locked/>
    <w:rsid w:val="00CD5F7F"/>
    <w:rPr>
      <w:rFonts w:cs="Times New Roman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CD5F7F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uiPriority w:val="99"/>
    <w:rsid w:val="00CD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nakZnak">
    <w:name w:val="Znak Znak"/>
    <w:basedOn w:val="Domylnaczcionkaakapitu"/>
    <w:uiPriority w:val="99"/>
    <w:locked/>
    <w:rsid w:val="00CD5F7F"/>
    <w:rPr>
      <w:rFonts w:cs="Times New Roman"/>
      <w:lang w:val="pl-PL" w:eastAsia="pl-PL" w:bidi="ar-SA"/>
    </w:rPr>
  </w:style>
  <w:style w:type="paragraph" w:styleId="Akapitzlist0">
    <w:name w:val="List Paragraph"/>
    <w:basedOn w:val="Normalny"/>
    <w:uiPriority w:val="34"/>
    <w:qFormat/>
    <w:rsid w:val="00CD5F7F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UyteHipercze">
    <w:name w:val="FollowedHyperlink"/>
    <w:basedOn w:val="Domylnaczcionkaakapitu"/>
    <w:uiPriority w:val="99"/>
    <w:rsid w:val="00CD5F7F"/>
    <w:rPr>
      <w:rFonts w:cs="Times New Roman"/>
      <w:color w:val="800080"/>
      <w:u w:val="single"/>
    </w:rPr>
  </w:style>
  <w:style w:type="character" w:customStyle="1" w:styleId="ZnakZnak4">
    <w:name w:val="Znak Znak4"/>
    <w:basedOn w:val="Domylnaczcionkaakapitu"/>
    <w:uiPriority w:val="99"/>
    <w:locked/>
    <w:rsid w:val="00CD5F7F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character" w:customStyle="1" w:styleId="ZnakZnak3">
    <w:name w:val="Znak Znak3"/>
    <w:basedOn w:val="Domylnaczcionkaakapitu"/>
    <w:uiPriority w:val="99"/>
    <w:locked/>
    <w:rsid w:val="00CD5F7F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CD5F7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CD5F7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D5F7F"/>
    <w:pPr>
      <w:suppressAutoHyphens/>
      <w:spacing w:after="120" w:line="480" w:lineRule="auto"/>
    </w:pPr>
    <w:rPr>
      <w:kern w:val="0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D5F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D5F7F"/>
    <w:rPr>
      <w:rFonts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D5F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5F7F"/>
    <w:rPr>
      <w:rFonts w:ascii="Times New Roman" w:eastAsia="Times New Roman" w:hAnsi="Times New Roman" w:cs="Times New Roman"/>
      <w:kern w:val="24"/>
      <w:sz w:val="20"/>
      <w:szCs w:val="20"/>
    </w:rPr>
  </w:style>
  <w:style w:type="character" w:styleId="Odwoanieprzypisudolnego">
    <w:name w:val="footnote reference"/>
    <w:basedOn w:val="Domylnaczcionkaakapitu"/>
    <w:rsid w:val="00CD5F7F"/>
    <w:rPr>
      <w:rFonts w:cs="Times New Roman"/>
      <w:vertAlign w:val="superscript"/>
    </w:rPr>
  </w:style>
  <w:style w:type="paragraph" w:customStyle="1" w:styleId="tresc">
    <w:name w:val="tresc"/>
    <w:basedOn w:val="Normalny"/>
    <w:uiPriority w:val="99"/>
    <w:rsid w:val="00CD5F7F"/>
    <w:pPr>
      <w:spacing w:before="100" w:beforeAutospacing="1" w:after="100" w:afterAutospacing="1" w:line="336" w:lineRule="atLeast"/>
    </w:pPr>
    <w:rPr>
      <w:kern w:val="0"/>
      <w:sz w:val="18"/>
      <w:szCs w:val="18"/>
      <w:lang w:eastAsia="pl-PL"/>
    </w:r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CD5F7F"/>
    <w:pPr>
      <w:spacing w:after="0"/>
    </w:pPr>
    <w:rPr>
      <w:kern w:val="0"/>
      <w:lang w:eastAsia="pl-PL"/>
    </w:rPr>
  </w:style>
  <w:style w:type="character" w:customStyle="1" w:styleId="TytuZnak1">
    <w:name w:val="Tytuł Znak1"/>
    <w:basedOn w:val="Domylnaczcionkaakapitu"/>
    <w:uiPriority w:val="99"/>
    <w:locked/>
    <w:rsid w:val="00CD5F7F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CD5F7F"/>
    <w:pPr>
      <w:widowControl w:val="0"/>
      <w:autoSpaceDE w:val="0"/>
      <w:autoSpaceDN w:val="0"/>
      <w:adjustRightInd w:val="0"/>
      <w:spacing w:after="0" w:line="370" w:lineRule="exact"/>
      <w:jc w:val="both"/>
    </w:pPr>
    <w:rPr>
      <w:kern w:val="0"/>
      <w:lang w:eastAsia="pl-PL"/>
    </w:rPr>
  </w:style>
  <w:style w:type="character" w:customStyle="1" w:styleId="FontStyle11">
    <w:name w:val="Font Style11"/>
    <w:basedOn w:val="Domylnaczcionkaakapitu"/>
    <w:uiPriority w:val="99"/>
    <w:rsid w:val="00CD5F7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CD5F7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CD5F7F"/>
    <w:rPr>
      <w:rFonts w:ascii="Bookman Old Style" w:hAnsi="Bookman Old Style" w:cs="Bookman Old Style"/>
      <w:sz w:val="20"/>
      <w:szCs w:val="20"/>
    </w:rPr>
  </w:style>
  <w:style w:type="character" w:customStyle="1" w:styleId="pathcurrent">
    <w:name w:val="pathcurrent"/>
    <w:basedOn w:val="Domylnaczcionkaakapitu"/>
    <w:uiPriority w:val="99"/>
    <w:rsid w:val="00CD5F7F"/>
    <w:rPr>
      <w:rFonts w:cs="Times New Roman"/>
    </w:rPr>
  </w:style>
  <w:style w:type="character" w:customStyle="1" w:styleId="FontStyle95">
    <w:name w:val="Font Style95"/>
    <w:basedOn w:val="Domylnaczcionkaakapitu"/>
    <w:uiPriority w:val="99"/>
    <w:rsid w:val="00CD5F7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0">
    <w:name w:val="Font Style110"/>
    <w:basedOn w:val="Domylnaczcionkaakapitu"/>
    <w:uiPriority w:val="99"/>
    <w:rsid w:val="00CD5F7F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Domylnaczcionkaakapitu"/>
    <w:uiPriority w:val="99"/>
    <w:rsid w:val="00CD5F7F"/>
    <w:rPr>
      <w:rFonts w:ascii="Calibri" w:hAnsi="Calibri" w:cs="Calibri"/>
      <w:i/>
      <w:iCs/>
      <w:sz w:val="14"/>
      <w:szCs w:val="14"/>
    </w:rPr>
  </w:style>
  <w:style w:type="character" w:customStyle="1" w:styleId="FontStyle42">
    <w:name w:val="Font Style42"/>
    <w:basedOn w:val="Domylnaczcionkaakapitu"/>
    <w:uiPriority w:val="99"/>
    <w:rsid w:val="00CD5F7F"/>
    <w:rPr>
      <w:rFonts w:ascii="Times New Roman" w:hAnsi="Times New Roman" w:cs="Times New Roman"/>
      <w:sz w:val="12"/>
      <w:szCs w:val="12"/>
    </w:rPr>
  </w:style>
  <w:style w:type="paragraph" w:customStyle="1" w:styleId="akt-tytu">
    <w:name w:val="akt-tytuł"/>
    <w:basedOn w:val="Normalny"/>
    <w:uiPriority w:val="99"/>
    <w:rsid w:val="00CD5F7F"/>
    <w:pPr>
      <w:tabs>
        <w:tab w:val="left" w:pos="3960"/>
        <w:tab w:val="right" w:pos="9072"/>
      </w:tabs>
      <w:autoSpaceDE w:val="0"/>
      <w:autoSpaceDN w:val="0"/>
      <w:adjustRightInd w:val="0"/>
      <w:spacing w:after="0"/>
      <w:jc w:val="center"/>
    </w:pPr>
    <w:rPr>
      <w:rFonts w:ascii="Arial" w:hAnsi="Arial" w:cs="Calibri"/>
      <w:b/>
      <w:bCs/>
      <w:color w:val="000000"/>
      <w:kern w:val="0"/>
      <w:sz w:val="36"/>
      <w:szCs w:val="28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CD5F7F"/>
    <w:pPr>
      <w:suppressAutoHyphens/>
      <w:spacing w:after="0"/>
      <w:ind w:firstLine="1080"/>
      <w:jc w:val="both"/>
    </w:pPr>
    <w:rPr>
      <w:rFonts w:ascii="Arial" w:hAnsi="Arial"/>
      <w:kern w:val="0"/>
      <w:lang w:eastAsia="ar-SA"/>
    </w:rPr>
  </w:style>
  <w:style w:type="character" w:customStyle="1" w:styleId="NormalnyGaramondZnak">
    <w:name w:val="Normalny + Garamond Znak"/>
    <w:aliases w:val="12 pt Znak"/>
    <w:basedOn w:val="Domylnaczcionkaakapitu"/>
    <w:link w:val="NormalnyGaramond"/>
    <w:uiPriority w:val="99"/>
    <w:locked/>
    <w:rsid w:val="00CD5F7F"/>
    <w:rPr>
      <w:rFonts w:ascii="Garamond" w:hAnsi="Garamond" w:cs="Times New Roman"/>
      <w:sz w:val="24"/>
      <w:szCs w:val="24"/>
    </w:rPr>
  </w:style>
  <w:style w:type="paragraph" w:customStyle="1" w:styleId="NormalnyGaramond">
    <w:name w:val="Normalny + Garamond"/>
    <w:aliases w:val="12 pt"/>
    <w:basedOn w:val="Normalny"/>
    <w:link w:val="NormalnyGaramondZnak"/>
    <w:uiPriority w:val="99"/>
    <w:rsid w:val="00CD5F7F"/>
    <w:pPr>
      <w:widowControl w:val="0"/>
      <w:suppressAutoHyphens/>
      <w:spacing w:after="240" w:line="360" w:lineRule="auto"/>
      <w:ind w:firstLine="709"/>
      <w:jc w:val="both"/>
    </w:pPr>
    <w:rPr>
      <w:rFonts w:ascii="Garamond" w:eastAsiaTheme="minorHAnsi" w:hAnsi="Garamond"/>
      <w:kern w:val="0"/>
    </w:rPr>
  </w:style>
  <w:style w:type="character" w:customStyle="1" w:styleId="FontStyle29">
    <w:name w:val="Font Style29"/>
    <w:basedOn w:val="Domylnaczcionkaakapitu"/>
    <w:uiPriority w:val="99"/>
    <w:rsid w:val="00CD5F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CD5F7F"/>
    <w:rPr>
      <w:rFonts w:ascii="Cambria" w:hAnsi="Cambria" w:cs="Cambri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CD5F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D5F7F"/>
    <w:rPr>
      <w:rFonts w:ascii="Tahoma" w:eastAsia="Times New Roman" w:hAnsi="Tahoma" w:cs="Tahoma"/>
      <w:kern w:val="24"/>
      <w:sz w:val="20"/>
      <w:szCs w:val="20"/>
      <w:shd w:val="clear" w:color="auto" w:fill="000080"/>
    </w:rPr>
  </w:style>
  <w:style w:type="character" w:customStyle="1" w:styleId="st">
    <w:name w:val="st"/>
    <w:basedOn w:val="Domylnaczcionkaakapitu"/>
    <w:uiPriority w:val="99"/>
    <w:rsid w:val="00CD5F7F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CD5F7F"/>
    <w:rPr>
      <w:rFonts w:cs="Times New Roman"/>
      <w:i/>
      <w:iCs/>
    </w:rPr>
  </w:style>
  <w:style w:type="paragraph" w:styleId="Listapunktowana">
    <w:name w:val="List Bullet"/>
    <w:basedOn w:val="Normalny"/>
    <w:uiPriority w:val="99"/>
    <w:rsid w:val="00CD5F7F"/>
    <w:pPr>
      <w:numPr>
        <w:numId w:val="1"/>
      </w:numPr>
      <w:tabs>
        <w:tab w:val="num" w:pos="360"/>
      </w:tabs>
      <w:spacing w:after="0"/>
      <w:ind w:left="360"/>
    </w:pPr>
    <w:rPr>
      <w:kern w:val="0"/>
      <w:lang w:eastAsia="pl-PL"/>
    </w:rPr>
  </w:style>
  <w:style w:type="paragraph" w:customStyle="1" w:styleId="Zawartotabeli">
    <w:name w:val="Zawartość tabeli"/>
    <w:basedOn w:val="Normalny"/>
    <w:uiPriority w:val="99"/>
    <w:rsid w:val="00CD5F7F"/>
    <w:pPr>
      <w:suppressLineNumbers/>
      <w:suppressAutoHyphens/>
      <w:spacing w:after="0"/>
    </w:pPr>
    <w:rPr>
      <w:kern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CD5F7F"/>
  </w:style>
  <w:style w:type="character" w:customStyle="1" w:styleId="Absatz-Standardschriftart">
    <w:name w:val="Absatz-Standardschriftart"/>
    <w:uiPriority w:val="99"/>
    <w:rsid w:val="00CD5F7F"/>
  </w:style>
  <w:style w:type="paragraph" w:styleId="Bezodstpw">
    <w:name w:val="No Spacing"/>
    <w:uiPriority w:val="99"/>
    <w:qFormat/>
    <w:rsid w:val="00CD5F7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CD5F7F"/>
    <w:pPr>
      <w:ind w:left="720"/>
      <w:contextualSpacing/>
    </w:pPr>
  </w:style>
  <w:style w:type="paragraph" w:customStyle="1" w:styleId="Akapitzlist4">
    <w:name w:val="Akapit z listą4"/>
    <w:basedOn w:val="Normalny"/>
    <w:uiPriority w:val="99"/>
    <w:rsid w:val="00CD5F7F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CD5F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5F7F"/>
    <w:rPr>
      <w:rFonts w:ascii="Times New Roman" w:eastAsia="Times New Roman" w:hAnsi="Times New Roman" w:cs="Times New Roman"/>
      <w:kern w:val="24"/>
      <w:sz w:val="16"/>
      <w:szCs w:val="16"/>
    </w:rPr>
  </w:style>
  <w:style w:type="character" w:customStyle="1" w:styleId="FontStyle15">
    <w:name w:val="Font Style15"/>
    <w:uiPriority w:val="99"/>
    <w:rsid w:val="00CD5F7F"/>
    <w:rPr>
      <w:rFonts w:ascii="Times New Roman" w:hAnsi="Times New Roman"/>
      <w:b/>
      <w:sz w:val="20"/>
    </w:rPr>
  </w:style>
  <w:style w:type="paragraph" w:customStyle="1" w:styleId="Akapitzlist3">
    <w:name w:val="Akapit z listą3"/>
    <w:basedOn w:val="Normalny"/>
    <w:uiPriority w:val="99"/>
    <w:rsid w:val="00CD5F7F"/>
    <w:pPr>
      <w:ind w:left="720"/>
      <w:contextualSpacing/>
    </w:pPr>
  </w:style>
  <w:style w:type="character" w:customStyle="1" w:styleId="FontStyle27">
    <w:name w:val="Font Style27"/>
    <w:basedOn w:val="Domylnaczcionkaakapitu"/>
    <w:uiPriority w:val="99"/>
    <w:rsid w:val="00CD5F7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CD5F7F"/>
    <w:rPr>
      <w:rFonts w:ascii="Garamond" w:hAnsi="Garamond" w:cs="Garamond"/>
      <w:sz w:val="22"/>
      <w:szCs w:val="22"/>
    </w:rPr>
  </w:style>
  <w:style w:type="paragraph" w:styleId="Lista">
    <w:name w:val="List"/>
    <w:basedOn w:val="Normalny"/>
    <w:uiPriority w:val="99"/>
    <w:rsid w:val="00CD5F7F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CD5F7F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rsid w:val="00CD5F7F"/>
    <w:pPr>
      <w:numPr>
        <w:numId w:val="4"/>
      </w:numPr>
      <w:tabs>
        <w:tab w:val="num" w:pos="643"/>
      </w:tabs>
      <w:ind w:left="643"/>
      <w:contextualSpacing/>
    </w:pPr>
  </w:style>
  <w:style w:type="paragraph" w:styleId="Listapunktowana3">
    <w:name w:val="List Bullet 3"/>
    <w:basedOn w:val="Normalny"/>
    <w:uiPriority w:val="99"/>
    <w:rsid w:val="00CD5F7F"/>
    <w:pPr>
      <w:numPr>
        <w:numId w:val="2"/>
      </w:numPr>
      <w:tabs>
        <w:tab w:val="clear" w:pos="1428"/>
        <w:tab w:val="num" w:pos="926"/>
      </w:tabs>
      <w:ind w:left="926"/>
      <w:contextualSpacing/>
    </w:pPr>
  </w:style>
  <w:style w:type="paragraph" w:styleId="Listapunktowana4">
    <w:name w:val="List Bullet 4"/>
    <w:basedOn w:val="Normalny"/>
    <w:uiPriority w:val="99"/>
    <w:rsid w:val="00CD5F7F"/>
    <w:pPr>
      <w:numPr>
        <w:numId w:val="5"/>
      </w:numPr>
      <w:tabs>
        <w:tab w:val="num" w:pos="1209"/>
      </w:tabs>
      <w:ind w:left="1209"/>
      <w:contextualSpacing/>
    </w:pPr>
  </w:style>
  <w:style w:type="paragraph" w:styleId="Lista-kontynuacja">
    <w:name w:val="List Continue"/>
    <w:basedOn w:val="Normalny"/>
    <w:uiPriority w:val="99"/>
    <w:rsid w:val="00CD5F7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CD5F7F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CD5F7F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CD5F7F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CD5F7F"/>
    <w:pPr>
      <w:suppressAutoHyphens w:val="0"/>
      <w:ind w:firstLine="210"/>
    </w:pPr>
    <w:rPr>
      <w:kern w:val="24"/>
      <w:sz w:val="24"/>
      <w:szCs w:val="24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D5F7F"/>
    <w:rPr>
      <w:rFonts w:ascii="Times New Roman" w:eastAsia="Times New Roman" w:hAnsi="Times New Roman" w:cs="Times New Roman"/>
      <w:kern w:val="24"/>
      <w:sz w:val="24"/>
      <w:szCs w:val="24"/>
      <w:lang w:eastAsia="ar-SA"/>
    </w:rPr>
  </w:style>
  <w:style w:type="character" w:customStyle="1" w:styleId="changed-paragraph">
    <w:name w:val="changed-paragraph"/>
    <w:basedOn w:val="Domylnaczcionkaakapitu"/>
    <w:rsid w:val="00CD5F7F"/>
  </w:style>
  <w:style w:type="paragraph" w:styleId="Legenda">
    <w:name w:val="caption"/>
    <w:basedOn w:val="Normalny"/>
    <w:next w:val="Normalny"/>
    <w:uiPriority w:val="35"/>
    <w:unhideWhenUsed/>
    <w:qFormat/>
    <w:rsid w:val="00CD5F7F"/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CD5F7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CD5F7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226D-F525-470B-A66C-949C52C5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2321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Chrzanowska Ewa</dc:creator>
  <cp:keywords/>
  <dc:description/>
  <cp:lastModifiedBy>Chrzanowska Ewa</cp:lastModifiedBy>
  <cp:revision>99</cp:revision>
  <cp:lastPrinted>2025-04-03T08:34:00Z</cp:lastPrinted>
  <dcterms:created xsi:type="dcterms:W3CDTF">2023-02-28T06:44:00Z</dcterms:created>
  <dcterms:modified xsi:type="dcterms:W3CDTF">2025-04-04T09:39:00Z</dcterms:modified>
</cp:coreProperties>
</file>